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17" w:rsidRPr="00E478F8" w:rsidRDefault="00280B17" w:rsidP="00E478F8">
      <w:pPr>
        <w:ind w:left="-284" w:right="-568"/>
        <w:jc w:val="both"/>
        <w:rPr>
          <w:rFonts w:ascii="Century Gothic" w:hAnsi="Century Gothic"/>
        </w:rPr>
      </w:pPr>
    </w:p>
    <w:p w:rsidR="00280B17" w:rsidRPr="00E478F8" w:rsidRDefault="00280B17" w:rsidP="00E478F8">
      <w:pPr>
        <w:ind w:left="-284" w:right="-568"/>
        <w:jc w:val="both"/>
        <w:rPr>
          <w:rFonts w:ascii="Century Gothic" w:hAnsi="Century Gothic"/>
        </w:rPr>
      </w:pPr>
    </w:p>
    <w:p w:rsidR="00280B17" w:rsidRPr="00E478F8" w:rsidRDefault="00280B17" w:rsidP="00E478F8">
      <w:pPr>
        <w:ind w:left="-284" w:right="-568"/>
        <w:jc w:val="both"/>
        <w:rPr>
          <w:rFonts w:ascii="Century Gothic" w:hAnsi="Century Gothic"/>
        </w:rPr>
      </w:pPr>
    </w:p>
    <w:p w:rsidR="00280B17" w:rsidRPr="00E478F8" w:rsidRDefault="00280B17" w:rsidP="00E478F8">
      <w:pPr>
        <w:ind w:left="-284" w:right="-568"/>
        <w:jc w:val="both"/>
        <w:rPr>
          <w:rFonts w:ascii="Century Gothic" w:hAnsi="Century Gothic"/>
        </w:rPr>
      </w:pPr>
    </w:p>
    <w:p w:rsidR="00280B17" w:rsidRPr="00E478F8" w:rsidRDefault="00280B17" w:rsidP="00E478F8">
      <w:pPr>
        <w:ind w:left="-284" w:right="-568"/>
        <w:jc w:val="both"/>
        <w:rPr>
          <w:rFonts w:ascii="Century Gothic" w:hAnsi="Century Gothic"/>
        </w:rPr>
      </w:pPr>
    </w:p>
    <w:p w:rsidR="00280B17" w:rsidRPr="00E478F8" w:rsidRDefault="00280B17" w:rsidP="00E478F8">
      <w:pPr>
        <w:ind w:left="-284" w:right="-568"/>
        <w:jc w:val="both"/>
        <w:rPr>
          <w:rFonts w:ascii="Century Gothic" w:hAnsi="Century Gothic"/>
        </w:rPr>
      </w:pPr>
    </w:p>
    <w:p w:rsidR="00280B17" w:rsidRPr="00E478F8" w:rsidRDefault="00280B17" w:rsidP="00E478F8">
      <w:pPr>
        <w:ind w:left="-284" w:right="-568"/>
        <w:jc w:val="both"/>
        <w:rPr>
          <w:rFonts w:ascii="Century Gothic" w:hAnsi="Century Gothic"/>
        </w:rPr>
      </w:pPr>
    </w:p>
    <w:p w:rsidR="00280B17" w:rsidRPr="00E478F8" w:rsidRDefault="00280B17" w:rsidP="00E478F8">
      <w:pPr>
        <w:spacing w:line="276" w:lineRule="auto"/>
        <w:ind w:left="-284" w:right="-568"/>
        <w:jc w:val="center"/>
        <w:rPr>
          <w:rFonts w:ascii="Arial" w:hAnsi="Arial" w:cs="Arial"/>
          <w:b/>
          <w:sz w:val="40"/>
          <w:szCs w:val="40"/>
        </w:rPr>
      </w:pPr>
      <w:r w:rsidRPr="00E478F8">
        <w:rPr>
          <w:rFonts w:ascii="Arial" w:hAnsi="Arial" w:cs="Arial"/>
          <w:b/>
          <w:sz w:val="40"/>
          <w:szCs w:val="40"/>
        </w:rPr>
        <w:t>POLÍTICA DE INVESTIMENTOS 2018</w:t>
      </w:r>
    </w:p>
    <w:p w:rsidR="00280B17" w:rsidRPr="00E478F8" w:rsidRDefault="00280B17" w:rsidP="00E478F8">
      <w:pPr>
        <w:spacing w:line="276" w:lineRule="auto"/>
        <w:ind w:left="-284" w:right="-568"/>
        <w:jc w:val="center"/>
        <w:rPr>
          <w:rFonts w:ascii="Arial" w:hAnsi="Arial" w:cs="Arial"/>
          <w:b/>
          <w:sz w:val="40"/>
          <w:szCs w:val="40"/>
        </w:rPr>
      </w:pPr>
    </w:p>
    <w:p w:rsidR="00280B17" w:rsidRPr="00E478F8" w:rsidRDefault="00280B17" w:rsidP="00E478F8">
      <w:pPr>
        <w:spacing w:line="276" w:lineRule="auto"/>
        <w:ind w:left="-284" w:right="-568"/>
        <w:jc w:val="center"/>
        <w:rPr>
          <w:rFonts w:ascii="Arial" w:hAnsi="Arial" w:cs="Arial"/>
          <w:b/>
          <w:sz w:val="40"/>
          <w:szCs w:val="40"/>
        </w:rPr>
      </w:pPr>
    </w:p>
    <w:p w:rsidR="00280B17" w:rsidRPr="00E478F8" w:rsidRDefault="00280B17" w:rsidP="00E478F8">
      <w:pPr>
        <w:spacing w:line="276" w:lineRule="auto"/>
        <w:ind w:left="-284" w:right="-568"/>
        <w:jc w:val="center"/>
        <w:rPr>
          <w:rFonts w:ascii="Arial" w:hAnsi="Arial" w:cs="Arial"/>
          <w:b/>
          <w:sz w:val="40"/>
          <w:szCs w:val="40"/>
        </w:rPr>
      </w:pPr>
      <w:r w:rsidRPr="00E478F8">
        <w:rPr>
          <w:rFonts w:ascii="Arial" w:hAnsi="Arial" w:cs="Arial"/>
          <w:b/>
          <w:sz w:val="40"/>
          <w:szCs w:val="40"/>
        </w:rPr>
        <w:t xml:space="preserve">INSTITUTO DE PREVIDÊNCIA SOCIAL DOS </w:t>
      </w:r>
      <w:bookmarkStart w:id="0" w:name="_GoBack"/>
      <w:r w:rsidRPr="00E478F8">
        <w:rPr>
          <w:rFonts w:ascii="Arial" w:hAnsi="Arial" w:cs="Arial"/>
          <w:b/>
          <w:sz w:val="40"/>
          <w:szCs w:val="40"/>
        </w:rPr>
        <w:t>SERVIDORES MUNICIPAIS DE NOVA ALVORADA DO SUL/MS</w:t>
      </w:r>
    </w:p>
    <w:p w:rsidR="00280B17" w:rsidRPr="00E478F8" w:rsidRDefault="00280B17" w:rsidP="00E478F8">
      <w:pPr>
        <w:spacing w:line="276" w:lineRule="auto"/>
        <w:ind w:left="-284" w:right="-568"/>
        <w:jc w:val="center"/>
        <w:rPr>
          <w:rFonts w:ascii="Arial" w:hAnsi="Arial" w:cs="Arial"/>
          <w:b/>
          <w:sz w:val="40"/>
          <w:szCs w:val="40"/>
        </w:rPr>
      </w:pPr>
    </w:p>
    <w:bookmarkEnd w:id="0"/>
    <w:p w:rsidR="00280B17" w:rsidRPr="00E478F8" w:rsidRDefault="00280B17" w:rsidP="00E478F8">
      <w:pPr>
        <w:spacing w:line="276" w:lineRule="auto"/>
        <w:ind w:left="-284" w:right="-568"/>
        <w:jc w:val="center"/>
        <w:rPr>
          <w:rFonts w:ascii="Arial" w:hAnsi="Arial" w:cs="Arial"/>
          <w:b/>
          <w:sz w:val="40"/>
          <w:szCs w:val="40"/>
        </w:rPr>
      </w:pPr>
    </w:p>
    <w:p w:rsidR="00280B17" w:rsidRPr="00E478F8" w:rsidRDefault="00280B17" w:rsidP="00E478F8">
      <w:pPr>
        <w:ind w:left="-284" w:right="-568"/>
        <w:jc w:val="center"/>
        <w:rPr>
          <w:rFonts w:ascii="Arial" w:hAnsi="Arial" w:cs="Arial"/>
          <w:b/>
          <w:sz w:val="40"/>
          <w:szCs w:val="40"/>
        </w:rPr>
      </w:pPr>
    </w:p>
    <w:p w:rsidR="00280B17" w:rsidRPr="00E478F8" w:rsidRDefault="00280B17" w:rsidP="00E478F8">
      <w:pPr>
        <w:ind w:left="-284" w:right="-568"/>
        <w:jc w:val="center"/>
        <w:rPr>
          <w:rFonts w:ascii="Arial" w:hAnsi="Arial" w:cs="Arial"/>
          <w:b/>
          <w:sz w:val="40"/>
          <w:szCs w:val="40"/>
        </w:rPr>
      </w:pPr>
      <w:r w:rsidRPr="00E478F8">
        <w:rPr>
          <w:rFonts w:ascii="Arial" w:hAnsi="Arial" w:cs="Arial"/>
          <w:b/>
          <w:sz w:val="40"/>
          <w:szCs w:val="40"/>
        </w:rPr>
        <w:t>PREVNAS</w:t>
      </w:r>
    </w:p>
    <w:p w:rsidR="00280B17" w:rsidRPr="00E478F8" w:rsidRDefault="00280B17" w:rsidP="00E478F8">
      <w:pPr>
        <w:ind w:left="-284" w:right="-568"/>
        <w:rPr>
          <w:rFonts w:ascii="Arial" w:hAnsi="Arial" w:cs="Arial"/>
          <w:b/>
        </w:rPr>
      </w:pPr>
      <w:r w:rsidRPr="00E478F8">
        <w:rPr>
          <w:rFonts w:ascii="Arial" w:hAnsi="Arial" w:cs="Arial"/>
          <w:b/>
        </w:rPr>
        <w:br w:type="page"/>
      </w:r>
    </w:p>
    <w:sdt>
      <w:sdtPr>
        <w:rPr>
          <w:rFonts w:ascii="Arial" w:hAnsi="Arial" w:cs="Arial"/>
          <w:b/>
          <w:bCs/>
        </w:rPr>
        <w:id w:val="1261562148"/>
        <w:docPartObj>
          <w:docPartGallery w:val="Table of Contents"/>
          <w:docPartUnique/>
        </w:docPartObj>
      </w:sdtPr>
      <w:sdtEndPr/>
      <w:sdtContent>
        <w:p w:rsidR="00280B17" w:rsidRPr="00E478F8" w:rsidRDefault="00280B17" w:rsidP="00E478F8">
          <w:pPr>
            <w:spacing w:line="276" w:lineRule="auto"/>
            <w:ind w:left="-284" w:right="-568"/>
            <w:jc w:val="center"/>
            <w:rPr>
              <w:rFonts w:ascii="Arial" w:hAnsi="Arial" w:cs="Arial"/>
              <w:b/>
            </w:rPr>
          </w:pPr>
          <w:r w:rsidRPr="00E478F8">
            <w:rPr>
              <w:rFonts w:ascii="Arial" w:hAnsi="Arial" w:cs="Arial"/>
              <w:b/>
            </w:rPr>
            <w:t>SUMÁRIO</w:t>
          </w:r>
        </w:p>
        <w:p w:rsidR="00280B17" w:rsidRPr="00E478F8" w:rsidRDefault="00280B17"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r w:rsidRPr="00E478F8">
            <w:rPr>
              <w:rFonts w:ascii="Arial" w:hAnsi="Arial" w:cs="Arial"/>
              <w:b/>
              <w:bCs/>
              <w:color w:val="auto"/>
              <w:sz w:val="22"/>
            </w:rPr>
            <w:fldChar w:fldCharType="begin"/>
          </w:r>
          <w:r w:rsidRPr="00E478F8">
            <w:rPr>
              <w:rFonts w:ascii="Arial" w:hAnsi="Arial" w:cs="Arial"/>
              <w:b/>
              <w:bCs/>
              <w:color w:val="auto"/>
              <w:sz w:val="22"/>
            </w:rPr>
            <w:instrText xml:space="preserve"> TOC \o "1-3" \h \z \u </w:instrText>
          </w:r>
          <w:r w:rsidRPr="00E478F8">
            <w:rPr>
              <w:rFonts w:ascii="Arial" w:hAnsi="Arial" w:cs="Arial"/>
              <w:b/>
              <w:bCs/>
              <w:color w:val="auto"/>
              <w:sz w:val="22"/>
            </w:rPr>
            <w:fldChar w:fldCharType="separate"/>
          </w:r>
          <w:hyperlink w:anchor="_Toc497213341" w:history="1">
            <w:r w:rsidRPr="00E478F8">
              <w:rPr>
                <w:rStyle w:val="Hyperlink"/>
                <w:rFonts w:ascii="Arial" w:hAnsi="Arial" w:cs="Arial"/>
                <w:b/>
                <w:noProof/>
                <w:color w:val="auto"/>
                <w:sz w:val="22"/>
              </w:rPr>
              <w:t>1</w:t>
            </w:r>
            <w:r w:rsidRPr="00E478F8">
              <w:rPr>
                <w:rFonts w:ascii="Arial" w:eastAsiaTheme="minorEastAsia" w:hAnsi="Arial" w:cs="Arial"/>
                <w:b/>
                <w:noProof/>
                <w:color w:val="auto"/>
                <w:sz w:val="22"/>
                <w:lang w:eastAsia="pt-BR"/>
              </w:rPr>
              <w:tab/>
            </w:r>
            <w:r w:rsidRPr="00E478F8">
              <w:rPr>
                <w:rStyle w:val="Hyperlink"/>
                <w:rFonts w:ascii="Arial" w:hAnsi="Arial" w:cs="Arial"/>
                <w:b/>
                <w:noProof/>
                <w:color w:val="auto"/>
                <w:sz w:val="22"/>
              </w:rPr>
              <w:t>INTRODUÇÃO</w:t>
            </w:r>
            <w:r w:rsidRPr="00E478F8">
              <w:rPr>
                <w:rFonts w:ascii="Arial" w:hAnsi="Arial" w:cs="Arial"/>
                <w:b/>
                <w:noProof/>
                <w:webHidden/>
                <w:color w:val="auto"/>
                <w:sz w:val="22"/>
              </w:rPr>
              <w:tab/>
            </w:r>
            <w:r w:rsidRPr="00E478F8">
              <w:rPr>
                <w:rFonts w:ascii="Arial" w:hAnsi="Arial" w:cs="Arial"/>
                <w:b/>
                <w:noProof/>
                <w:webHidden/>
                <w:color w:val="auto"/>
                <w:sz w:val="22"/>
              </w:rPr>
              <w:fldChar w:fldCharType="begin"/>
            </w:r>
            <w:r w:rsidRPr="00E478F8">
              <w:rPr>
                <w:rFonts w:ascii="Arial" w:hAnsi="Arial" w:cs="Arial"/>
                <w:b/>
                <w:noProof/>
                <w:webHidden/>
                <w:color w:val="auto"/>
                <w:sz w:val="22"/>
              </w:rPr>
              <w:instrText xml:space="preserve"> PAGEREF _Toc497213341 \h </w:instrText>
            </w:r>
            <w:r w:rsidRPr="00E478F8">
              <w:rPr>
                <w:rFonts w:ascii="Arial" w:hAnsi="Arial" w:cs="Arial"/>
                <w:b/>
                <w:noProof/>
                <w:webHidden/>
                <w:color w:val="auto"/>
                <w:sz w:val="22"/>
              </w:rPr>
            </w:r>
            <w:r w:rsidRPr="00E478F8">
              <w:rPr>
                <w:rFonts w:ascii="Arial" w:hAnsi="Arial" w:cs="Arial"/>
                <w:b/>
                <w:noProof/>
                <w:webHidden/>
                <w:color w:val="auto"/>
                <w:sz w:val="22"/>
              </w:rPr>
              <w:fldChar w:fldCharType="separate"/>
            </w:r>
            <w:r w:rsidR="00C94735">
              <w:rPr>
                <w:rFonts w:ascii="Arial" w:hAnsi="Arial" w:cs="Arial"/>
                <w:b/>
                <w:noProof/>
                <w:webHidden/>
                <w:color w:val="auto"/>
                <w:sz w:val="22"/>
              </w:rPr>
              <w:t>4</w:t>
            </w:r>
            <w:r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hyperlink w:anchor="_Toc497213342" w:history="1">
            <w:r w:rsidR="00280B17" w:rsidRPr="00E478F8">
              <w:rPr>
                <w:rStyle w:val="Hyperlink"/>
                <w:rFonts w:ascii="Arial" w:hAnsi="Arial" w:cs="Arial"/>
                <w:b/>
                <w:noProof/>
                <w:color w:val="auto"/>
                <w:sz w:val="22"/>
              </w:rPr>
              <w:t>2</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OBJETIVO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_Toc497213342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5</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hyperlink w:anchor="_Toc497213343" w:history="1">
            <w:r w:rsidR="00280B17" w:rsidRPr="00E478F8">
              <w:rPr>
                <w:rStyle w:val="Hyperlink"/>
                <w:rFonts w:ascii="Arial" w:hAnsi="Arial" w:cs="Arial"/>
                <w:b/>
                <w:noProof/>
                <w:color w:val="auto"/>
                <w:sz w:val="22"/>
              </w:rPr>
              <w:t>3</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CENÁRIO ECONÔMICO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_Toc497213343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6</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44" w:history="1">
            <w:r w:rsidR="00280B17" w:rsidRPr="00E478F8">
              <w:rPr>
                <w:rStyle w:val="Hyperlink"/>
                <w:rFonts w:ascii="Arial" w:hAnsi="Arial" w:cs="Arial"/>
                <w:b/>
                <w:noProof/>
                <w:color w:val="auto"/>
                <w:sz w:val="22"/>
              </w:rPr>
              <w:t>3.1</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INTERNACIONAL</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_Toc497213344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6</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45" w:history="1">
            <w:r w:rsidR="00280B17" w:rsidRPr="00E478F8">
              <w:rPr>
                <w:rStyle w:val="Hyperlink"/>
                <w:rFonts w:ascii="Arial" w:hAnsi="Arial" w:cs="Arial"/>
                <w:b/>
                <w:noProof/>
                <w:color w:val="auto"/>
                <w:sz w:val="22"/>
              </w:rPr>
              <w:t>3.2</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NACIONAL</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_Toc497213345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7</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46" w:history="1">
            <w:r w:rsidR="00280B17" w:rsidRPr="00E478F8">
              <w:rPr>
                <w:rStyle w:val="Hyperlink"/>
                <w:rFonts w:ascii="Arial" w:hAnsi="Arial" w:cs="Arial"/>
                <w:b/>
                <w:noProof/>
                <w:color w:val="auto"/>
                <w:sz w:val="22"/>
              </w:rPr>
              <w:t>3.3</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PERSPECTIVAS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_Toc497213346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8</w:t>
            </w:r>
            <w:r w:rsidR="00280B17" w:rsidRPr="00E478F8">
              <w:rPr>
                <w:rFonts w:ascii="Arial" w:hAnsi="Arial" w:cs="Arial"/>
                <w:b/>
                <w:noProof/>
                <w:webHidden/>
                <w:color w:val="auto"/>
                <w:sz w:val="22"/>
              </w:rPr>
              <w:fldChar w:fldCharType="end"/>
            </w:r>
          </w:hyperlink>
        </w:p>
        <w:p w:rsidR="00280B17" w:rsidRPr="00E478F8" w:rsidRDefault="006F0DF4" w:rsidP="00E478F8">
          <w:pPr>
            <w:pStyle w:val="Sumrio3"/>
            <w:ind w:left="-284" w:right="-568"/>
            <w:rPr>
              <w:rFonts w:ascii="Arial" w:eastAsiaTheme="minorEastAsia" w:hAnsi="Arial" w:cs="Arial"/>
              <w:b/>
              <w:noProof/>
              <w:sz w:val="22"/>
              <w:lang w:eastAsia="pt-BR"/>
            </w:rPr>
          </w:pPr>
          <w:hyperlink w:anchor="_Toc497213347" w:history="1">
            <w:r w:rsidR="00280B17" w:rsidRPr="00E478F8">
              <w:rPr>
                <w:rStyle w:val="Hyperlink"/>
                <w:rFonts w:ascii="Arial" w:hAnsi="Arial" w:cs="Arial"/>
                <w:b/>
                <w:noProof/>
                <w:color w:val="auto"/>
                <w:sz w:val="22"/>
              </w:rPr>
              <w:t>3.3.1</w:t>
            </w:r>
            <w:r w:rsidR="00280B17" w:rsidRPr="00E478F8">
              <w:rPr>
                <w:rFonts w:ascii="Arial" w:eastAsiaTheme="minorEastAsia" w:hAnsi="Arial" w:cs="Arial"/>
                <w:b/>
                <w:noProof/>
                <w:sz w:val="22"/>
                <w:lang w:eastAsia="pt-BR"/>
              </w:rPr>
              <w:tab/>
            </w:r>
            <w:r w:rsidR="00280B17" w:rsidRPr="00E478F8">
              <w:rPr>
                <w:rStyle w:val="Hyperlink"/>
                <w:rFonts w:ascii="Arial" w:hAnsi="Arial" w:cs="Arial"/>
                <w:b/>
                <w:noProof/>
                <w:color w:val="auto"/>
                <w:sz w:val="22"/>
              </w:rPr>
              <w:t>INTERNACIONAL</w:t>
            </w:r>
            <w:r w:rsidR="00280B17" w:rsidRPr="00E478F8">
              <w:rPr>
                <w:rFonts w:ascii="Arial" w:hAnsi="Arial" w:cs="Arial"/>
                <w:b/>
                <w:noProof/>
                <w:webHidden/>
                <w:sz w:val="22"/>
              </w:rPr>
              <w:tab/>
            </w:r>
            <w:r w:rsidR="00280B17" w:rsidRPr="00E478F8">
              <w:rPr>
                <w:rFonts w:ascii="Arial" w:hAnsi="Arial" w:cs="Arial"/>
                <w:b/>
                <w:noProof/>
                <w:webHidden/>
                <w:sz w:val="22"/>
              </w:rPr>
              <w:fldChar w:fldCharType="begin"/>
            </w:r>
            <w:r w:rsidR="00280B17" w:rsidRPr="00E478F8">
              <w:rPr>
                <w:rFonts w:ascii="Arial" w:hAnsi="Arial" w:cs="Arial"/>
                <w:b/>
                <w:noProof/>
                <w:webHidden/>
                <w:sz w:val="22"/>
              </w:rPr>
              <w:instrText xml:space="preserve"> PAGEREF _Toc497213347 \h </w:instrText>
            </w:r>
            <w:r w:rsidR="00280B17" w:rsidRPr="00E478F8">
              <w:rPr>
                <w:rFonts w:ascii="Arial" w:hAnsi="Arial" w:cs="Arial"/>
                <w:b/>
                <w:noProof/>
                <w:webHidden/>
                <w:sz w:val="22"/>
              </w:rPr>
            </w:r>
            <w:r w:rsidR="00280B17" w:rsidRPr="00E478F8">
              <w:rPr>
                <w:rFonts w:ascii="Arial" w:hAnsi="Arial" w:cs="Arial"/>
                <w:b/>
                <w:noProof/>
                <w:webHidden/>
                <w:sz w:val="22"/>
              </w:rPr>
              <w:fldChar w:fldCharType="separate"/>
            </w:r>
            <w:r w:rsidR="00C94735">
              <w:rPr>
                <w:rFonts w:ascii="Arial" w:hAnsi="Arial" w:cs="Arial"/>
                <w:b/>
                <w:noProof/>
                <w:webHidden/>
                <w:sz w:val="22"/>
              </w:rPr>
              <w:t>8</w:t>
            </w:r>
            <w:r w:rsidR="00280B17" w:rsidRPr="00E478F8">
              <w:rPr>
                <w:rFonts w:ascii="Arial" w:hAnsi="Arial" w:cs="Arial"/>
                <w:b/>
                <w:noProof/>
                <w:webHidden/>
                <w:sz w:val="22"/>
              </w:rPr>
              <w:fldChar w:fldCharType="end"/>
            </w:r>
          </w:hyperlink>
        </w:p>
        <w:p w:rsidR="00280B17" w:rsidRPr="00E478F8" w:rsidRDefault="006F0DF4" w:rsidP="00E478F8">
          <w:pPr>
            <w:pStyle w:val="Sumrio3"/>
            <w:ind w:left="-284" w:right="-568"/>
            <w:rPr>
              <w:rFonts w:ascii="Arial" w:eastAsiaTheme="minorEastAsia" w:hAnsi="Arial" w:cs="Arial"/>
              <w:b/>
              <w:noProof/>
              <w:sz w:val="22"/>
              <w:lang w:eastAsia="pt-BR"/>
            </w:rPr>
          </w:pPr>
          <w:hyperlink w:anchor="_Toc497213348" w:history="1">
            <w:r w:rsidR="00280B17" w:rsidRPr="00E478F8">
              <w:rPr>
                <w:rStyle w:val="Hyperlink"/>
                <w:rFonts w:ascii="Arial" w:hAnsi="Arial" w:cs="Arial"/>
                <w:b/>
                <w:noProof/>
                <w:color w:val="auto"/>
                <w:sz w:val="22"/>
              </w:rPr>
              <w:t>3.3.2</w:t>
            </w:r>
            <w:r w:rsidR="00280B17" w:rsidRPr="00E478F8">
              <w:rPr>
                <w:rFonts w:ascii="Arial" w:eastAsiaTheme="minorEastAsia" w:hAnsi="Arial" w:cs="Arial"/>
                <w:b/>
                <w:noProof/>
                <w:sz w:val="22"/>
                <w:lang w:eastAsia="pt-BR"/>
              </w:rPr>
              <w:tab/>
            </w:r>
            <w:r w:rsidR="00280B17" w:rsidRPr="00E478F8">
              <w:rPr>
                <w:rStyle w:val="Hyperlink"/>
                <w:rFonts w:ascii="Arial" w:hAnsi="Arial" w:cs="Arial"/>
                <w:b/>
                <w:noProof/>
                <w:color w:val="auto"/>
                <w:sz w:val="22"/>
              </w:rPr>
              <w:t>NACIONAL</w:t>
            </w:r>
            <w:r w:rsidR="00280B17" w:rsidRPr="00E478F8">
              <w:rPr>
                <w:rFonts w:ascii="Arial" w:hAnsi="Arial" w:cs="Arial"/>
                <w:b/>
                <w:noProof/>
                <w:webHidden/>
                <w:sz w:val="22"/>
              </w:rPr>
              <w:tab/>
            </w:r>
            <w:r w:rsidR="00280B17" w:rsidRPr="00E478F8">
              <w:rPr>
                <w:rFonts w:ascii="Arial" w:hAnsi="Arial" w:cs="Arial"/>
                <w:b/>
                <w:noProof/>
                <w:webHidden/>
                <w:sz w:val="22"/>
              </w:rPr>
              <w:fldChar w:fldCharType="begin"/>
            </w:r>
            <w:r w:rsidR="00280B17" w:rsidRPr="00E478F8">
              <w:rPr>
                <w:rFonts w:ascii="Arial" w:hAnsi="Arial" w:cs="Arial"/>
                <w:b/>
                <w:noProof/>
                <w:webHidden/>
                <w:sz w:val="22"/>
              </w:rPr>
              <w:instrText xml:space="preserve"> PAGEREF _Toc497213348 \h </w:instrText>
            </w:r>
            <w:r w:rsidR="00280B17" w:rsidRPr="00E478F8">
              <w:rPr>
                <w:rFonts w:ascii="Arial" w:hAnsi="Arial" w:cs="Arial"/>
                <w:b/>
                <w:noProof/>
                <w:webHidden/>
                <w:sz w:val="22"/>
              </w:rPr>
            </w:r>
            <w:r w:rsidR="00280B17" w:rsidRPr="00E478F8">
              <w:rPr>
                <w:rFonts w:ascii="Arial" w:hAnsi="Arial" w:cs="Arial"/>
                <w:b/>
                <w:noProof/>
                <w:webHidden/>
                <w:sz w:val="22"/>
              </w:rPr>
              <w:fldChar w:fldCharType="separate"/>
            </w:r>
            <w:r w:rsidR="00C94735">
              <w:rPr>
                <w:rFonts w:ascii="Arial" w:hAnsi="Arial" w:cs="Arial"/>
                <w:b/>
                <w:noProof/>
                <w:webHidden/>
                <w:sz w:val="22"/>
              </w:rPr>
              <w:t>9</w:t>
            </w:r>
            <w:r w:rsidR="00280B17" w:rsidRPr="00E478F8">
              <w:rPr>
                <w:rFonts w:ascii="Arial" w:hAnsi="Arial" w:cs="Arial"/>
                <w:b/>
                <w:noProof/>
                <w:webHidden/>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49" w:history="1">
            <w:r w:rsidR="00280B17" w:rsidRPr="00E478F8">
              <w:rPr>
                <w:rStyle w:val="Hyperlink"/>
                <w:rFonts w:ascii="Arial" w:hAnsi="Arial" w:cs="Arial"/>
                <w:b/>
                <w:noProof/>
                <w:color w:val="auto"/>
                <w:sz w:val="22"/>
              </w:rPr>
              <w:t>3.4</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EXPECTATIVAS DE MERCADO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_Toc497213349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9</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hyperlink w:anchor="_Toc497213350" w:history="1">
            <w:r w:rsidR="00280B17" w:rsidRPr="00E478F8">
              <w:rPr>
                <w:rStyle w:val="Hyperlink"/>
                <w:rFonts w:ascii="Arial" w:hAnsi="Arial" w:cs="Arial"/>
                <w:b/>
                <w:noProof/>
                <w:color w:val="auto"/>
                <w:sz w:val="22"/>
              </w:rPr>
              <w:t>4</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ALOCAÇÃO ESTRATÉGICA DOS RECURSOS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_Toc497213350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10</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51" w:history="1">
            <w:r w:rsidR="00280B17" w:rsidRPr="00E478F8">
              <w:rPr>
                <w:rStyle w:val="Hyperlink"/>
                <w:rFonts w:ascii="Arial" w:hAnsi="Arial" w:cs="Arial"/>
                <w:b/>
                <w:noProof/>
                <w:color w:val="auto"/>
                <w:sz w:val="22"/>
              </w:rPr>
              <w:t>4.1</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SEGMENTO DE RENDA FIXA</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_Toc497213351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12</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52" w:history="1">
            <w:r w:rsidR="00280B17" w:rsidRPr="00E478F8">
              <w:rPr>
                <w:rStyle w:val="Hyperlink"/>
                <w:rFonts w:ascii="Arial" w:hAnsi="Arial" w:cs="Arial"/>
                <w:b/>
                <w:noProof/>
                <w:color w:val="auto"/>
                <w:sz w:val="22"/>
              </w:rPr>
              <w:t>4.2</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SEGMENTO DE RENDA VARIÁVEL E INVESTIMENTOS ESTRUTURADOS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_Toc497213352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12</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53" w:history="1">
            <w:r w:rsidR="00280B17" w:rsidRPr="00E478F8">
              <w:rPr>
                <w:rStyle w:val="Hyperlink"/>
                <w:rFonts w:ascii="Arial" w:hAnsi="Arial" w:cs="Arial"/>
                <w:b/>
                <w:noProof/>
                <w:color w:val="auto"/>
                <w:sz w:val="22"/>
              </w:rPr>
              <w:t>4.3</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ENQUADRAMENTO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_Toc497213353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12</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54" w:history="1">
            <w:r w:rsidR="00280B17" w:rsidRPr="00E478F8">
              <w:rPr>
                <w:rStyle w:val="Hyperlink"/>
                <w:rFonts w:ascii="Arial" w:hAnsi="Arial" w:cs="Arial"/>
                <w:b/>
                <w:noProof/>
                <w:color w:val="auto"/>
                <w:sz w:val="22"/>
              </w:rPr>
              <w:t>4.4</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VEDAÇÕES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_Toc497213354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13</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hyperlink w:anchor="_Toc497213355" w:history="1">
            <w:r w:rsidR="00280B17" w:rsidRPr="00E478F8">
              <w:rPr>
                <w:rStyle w:val="Hyperlink"/>
                <w:rFonts w:ascii="Arial" w:hAnsi="Arial" w:cs="Arial"/>
                <w:b/>
                <w:noProof/>
                <w:color w:val="auto"/>
                <w:sz w:val="22"/>
              </w:rPr>
              <w:t>5</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META ATUARIAL</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_Toc497213355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15</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hyperlink w:anchor="_Toc497213356" w:history="1">
            <w:r w:rsidR="00280B17" w:rsidRPr="00E478F8">
              <w:rPr>
                <w:rStyle w:val="Hyperlink"/>
                <w:rFonts w:ascii="Arial" w:hAnsi="Arial" w:cs="Arial"/>
                <w:b/>
                <w:noProof/>
                <w:color w:val="auto"/>
                <w:sz w:val="22"/>
              </w:rPr>
              <w:t>6</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ESTRUTURA DE GESTÃO DOS ATIVOS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_Toc497213356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16</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57" w:history="1">
            <w:r w:rsidR="00280B17" w:rsidRPr="00E478F8">
              <w:rPr>
                <w:rStyle w:val="Hyperlink"/>
                <w:rFonts w:ascii="Arial" w:hAnsi="Arial" w:cs="Arial"/>
                <w:b/>
                <w:noProof/>
                <w:color w:val="auto"/>
                <w:sz w:val="22"/>
              </w:rPr>
              <w:t>6.1</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GESTÃO PRÓPRIA</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_Toc497213357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16</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58" w:history="1">
            <w:r w:rsidR="00280B17" w:rsidRPr="00E478F8">
              <w:rPr>
                <w:rStyle w:val="Hyperlink"/>
                <w:rFonts w:ascii="Arial" w:hAnsi="Arial" w:cs="Arial"/>
                <w:b/>
                <w:noProof/>
                <w:color w:val="auto"/>
                <w:sz w:val="22"/>
              </w:rPr>
              <w:t>6.2</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ÓRGÃOS DE EXECUÇÃO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_Toc497213358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16</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hyperlink w:anchor="_Toc497213359" w:history="1">
            <w:r w:rsidR="00280B17" w:rsidRPr="00E478F8">
              <w:rPr>
                <w:rStyle w:val="Hyperlink"/>
                <w:rFonts w:ascii="Arial" w:hAnsi="Arial" w:cs="Arial"/>
                <w:b/>
                <w:noProof/>
                <w:color w:val="auto"/>
                <w:sz w:val="22"/>
              </w:rPr>
              <w:t>7</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CONTROLE DE RISCO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_Toc497213359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17</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60" w:history="1">
            <w:r w:rsidR="00280B17" w:rsidRPr="00E478F8">
              <w:rPr>
                <w:rStyle w:val="Hyperlink"/>
                <w:rFonts w:ascii="Arial" w:hAnsi="Arial" w:cs="Arial"/>
                <w:b/>
                <w:noProof/>
                <w:color w:val="auto"/>
                <w:sz w:val="22"/>
              </w:rPr>
              <w:t>7.1</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CONTROLE DO RISCO DE MERCADO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_Toc497213360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17</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61" w:history="1">
            <w:r w:rsidR="00280B17" w:rsidRPr="00E478F8">
              <w:rPr>
                <w:rStyle w:val="Hyperlink"/>
                <w:rFonts w:ascii="Arial" w:hAnsi="Arial" w:cs="Arial"/>
                <w:b/>
                <w:noProof/>
                <w:color w:val="auto"/>
                <w:sz w:val="22"/>
              </w:rPr>
              <w:t>7.2</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CONTROLE DO RISCO DE CRÉDITO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_Toc497213361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18</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62" w:history="1">
            <w:r w:rsidR="00280B17" w:rsidRPr="00E478F8">
              <w:rPr>
                <w:rStyle w:val="Hyperlink"/>
                <w:rFonts w:ascii="Arial" w:hAnsi="Arial" w:cs="Arial"/>
                <w:b/>
                <w:noProof/>
                <w:color w:val="auto"/>
                <w:sz w:val="22"/>
              </w:rPr>
              <w:t>7.3</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CONTROLE DO RISCO DE LIQUIDEZ</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_Toc497213362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18</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hyperlink w:anchor="_Toc497213363" w:history="1">
            <w:r w:rsidR="00280B17" w:rsidRPr="00E478F8">
              <w:rPr>
                <w:rStyle w:val="Hyperlink"/>
                <w:rFonts w:ascii="Arial" w:hAnsi="Arial" w:cs="Arial"/>
                <w:b/>
                <w:noProof/>
                <w:color w:val="auto"/>
                <w:sz w:val="22"/>
              </w:rPr>
              <w:t>8</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POLÍTICA DE TRANSPARÊNCIA</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_Toc497213363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19</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400"/>
              <w:tab w:val="right" w:leader="dot" w:pos="9061"/>
            </w:tabs>
            <w:spacing w:line="276" w:lineRule="auto"/>
            <w:ind w:left="-284" w:right="-568"/>
            <w:rPr>
              <w:rFonts w:ascii="Arial" w:eastAsiaTheme="minorEastAsia" w:hAnsi="Arial" w:cs="Arial"/>
              <w:b/>
              <w:noProof/>
              <w:color w:val="auto"/>
              <w:sz w:val="22"/>
              <w:lang w:eastAsia="pt-BR"/>
            </w:rPr>
          </w:pPr>
          <w:hyperlink w:anchor="_Toc497213364" w:history="1">
            <w:r w:rsidR="00280B17" w:rsidRPr="00E478F8">
              <w:rPr>
                <w:rStyle w:val="Hyperlink"/>
                <w:rFonts w:ascii="Arial" w:hAnsi="Arial" w:cs="Arial"/>
                <w:b/>
                <w:noProof/>
                <w:color w:val="auto"/>
                <w:sz w:val="22"/>
              </w:rPr>
              <w:t>9</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CRITÉRIOS PARA CREDENCIAMENTO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_Toc497213364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20</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65" w:history="1">
            <w:r w:rsidR="00280B17" w:rsidRPr="00E478F8">
              <w:rPr>
                <w:rStyle w:val="Hyperlink"/>
                <w:rFonts w:ascii="Arial" w:hAnsi="Arial" w:cs="Arial"/>
                <w:b/>
                <w:noProof/>
                <w:color w:val="auto"/>
                <w:sz w:val="22"/>
              </w:rPr>
              <w:t>9.1</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PROCESSO DE SELEÇÃO E AVALIAÇÃO DE GESTORES/ADMINISTRADORES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_Toc497213365 \h </w:instrText>
            </w:r>
            <w:r w:rsidR="00280B17" w:rsidRPr="00E478F8">
              <w:rPr>
                <w:rFonts w:ascii="Arial" w:hAnsi="Arial" w:cs="Arial"/>
                <w:b/>
                <w:noProof/>
                <w:webHidden/>
                <w:color w:val="auto"/>
                <w:sz w:val="22"/>
              </w:rPr>
              <w:fldChar w:fldCharType="separate"/>
            </w:r>
            <w:r w:rsidR="00C94735">
              <w:rPr>
                <w:rFonts w:ascii="Arial" w:hAnsi="Arial" w:cs="Arial"/>
                <w:bCs/>
                <w:noProof/>
                <w:webHidden/>
                <w:color w:val="auto"/>
                <w:sz w:val="22"/>
              </w:rPr>
              <w:t>Erro! Indicador não definido.</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660"/>
              <w:tab w:val="right" w:leader="dot" w:pos="9061"/>
            </w:tabs>
            <w:spacing w:line="276" w:lineRule="auto"/>
            <w:ind w:left="-284" w:right="-568"/>
            <w:rPr>
              <w:rFonts w:ascii="Arial" w:eastAsiaTheme="minorEastAsia" w:hAnsi="Arial" w:cs="Arial"/>
              <w:b/>
              <w:noProof/>
              <w:color w:val="auto"/>
              <w:sz w:val="22"/>
              <w:lang w:eastAsia="pt-BR"/>
            </w:rPr>
          </w:pPr>
          <w:hyperlink w:anchor="_Toc497213366" w:history="1">
            <w:r w:rsidR="00280B17" w:rsidRPr="00E478F8">
              <w:rPr>
                <w:rStyle w:val="Hyperlink"/>
                <w:rFonts w:ascii="Arial" w:hAnsi="Arial" w:cs="Arial"/>
                <w:b/>
                <w:noProof/>
                <w:color w:val="auto"/>
                <w:sz w:val="22"/>
              </w:rPr>
              <w:t>10</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PRECIFICAÇÃO DE ATIVOS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_Toc497213366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22</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67" w:history="1">
            <w:r w:rsidR="00280B17" w:rsidRPr="00E478F8">
              <w:rPr>
                <w:rStyle w:val="Hyperlink"/>
                <w:rFonts w:ascii="Arial" w:hAnsi="Arial" w:cs="Arial"/>
                <w:b/>
                <w:noProof/>
                <w:color w:val="auto"/>
                <w:sz w:val="22"/>
              </w:rPr>
              <w:t>10.1</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METODOLOGIA</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_Toc497213367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22</w:t>
            </w:r>
            <w:r w:rsidR="00280B17" w:rsidRPr="00E478F8">
              <w:rPr>
                <w:rFonts w:ascii="Arial" w:hAnsi="Arial" w:cs="Arial"/>
                <w:b/>
                <w:noProof/>
                <w:webHidden/>
                <w:color w:val="auto"/>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68" w:history="1">
            <w:r w:rsidR="00280B17" w:rsidRPr="00E478F8">
              <w:rPr>
                <w:rStyle w:val="Hyperlink"/>
                <w:rFonts w:ascii="Arial" w:hAnsi="Arial" w:cs="Arial"/>
                <w:b/>
                <w:noProof/>
                <w:color w:val="auto"/>
                <w:sz w:val="22"/>
              </w:rPr>
              <w:t>10.2</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CRITÉRIOS DE PRECIFICAÇÃO</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_Toc497213368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22</w:t>
            </w:r>
            <w:r w:rsidR="00280B17" w:rsidRPr="00E478F8">
              <w:rPr>
                <w:rFonts w:ascii="Arial" w:hAnsi="Arial" w:cs="Arial"/>
                <w:b/>
                <w:noProof/>
                <w:webHidden/>
                <w:color w:val="auto"/>
                <w:sz w:val="22"/>
              </w:rPr>
              <w:fldChar w:fldCharType="end"/>
            </w:r>
          </w:hyperlink>
        </w:p>
        <w:p w:rsidR="00280B17" w:rsidRPr="00E478F8" w:rsidRDefault="006F0DF4" w:rsidP="00E478F8">
          <w:pPr>
            <w:pStyle w:val="Sumrio3"/>
            <w:ind w:left="-284" w:right="-568"/>
            <w:rPr>
              <w:rFonts w:ascii="Arial" w:eastAsiaTheme="minorEastAsia" w:hAnsi="Arial" w:cs="Arial"/>
              <w:b/>
              <w:noProof/>
              <w:sz w:val="22"/>
              <w:lang w:eastAsia="pt-BR"/>
            </w:rPr>
          </w:pPr>
          <w:hyperlink w:anchor="_Toc497213369" w:history="1">
            <w:r w:rsidR="00280B17" w:rsidRPr="00E478F8">
              <w:rPr>
                <w:rStyle w:val="Hyperlink"/>
                <w:rFonts w:ascii="Arial" w:hAnsi="Arial" w:cs="Arial"/>
                <w:b/>
                <w:noProof/>
                <w:color w:val="auto"/>
                <w:sz w:val="22"/>
              </w:rPr>
              <w:t>10.2.1</w:t>
            </w:r>
            <w:r w:rsidR="00280B17" w:rsidRPr="00E478F8">
              <w:rPr>
                <w:rFonts w:ascii="Arial" w:eastAsiaTheme="minorEastAsia" w:hAnsi="Arial" w:cs="Arial"/>
                <w:b/>
                <w:noProof/>
                <w:sz w:val="22"/>
                <w:lang w:eastAsia="pt-BR"/>
              </w:rPr>
              <w:tab/>
            </w:r>
            <w:r w:rsidR="00280B17" w:rsidRPr="00E478F8">
              <w:rPr>
                <w:rStyle w:val="Hyperlink"/>
                <w:rFonts w:ascii="Arial" w:hAnsi="Arial" w:cs="Arial"/>
                <w:b/>
                <w:noProof/>
                <w:color w:val="auto"/>
                <w:sz w:val="22"/>
              </w:rPr>
              <w:t>TÍTULOS PÚBLICOS FEDERAIS</w:t>
            </w:r>
            <w:r w:rsidR="00280B17" w:rsidRPr="00E478F8">
              <w:rPr>
                <w:rFonts w:ascii="Arial" w:hAnsi="Arial" w:cs="Arial"/>
                <w:b/>
                <w:noProof/>
                <w:webHidden/>
                <w:sz w:val="22"/>
              </w:rPr>
              <w:tab/>
            </w:r>
            <w:r w:rsidR="00280B17" w:rsidRPr="00E478F8">
              <w:rPr>
                <w:rFonts w:ascii="Arial" w:hAnsi="Arial" w:cs="Arial"/>
                <w:b/>
                <w:noProof/>
                <w:webHidden/>
                <w:sz w:val="22"/>
              </w:rPr>
              <w:fldChar w:fldCharType="begin"/>
            </w:r>
            <w:r w:rsidR="00280B17" w:rsidRPr="00E478F8">
              <w:rPr>
                <w:rFonts w:ascii="Arial" w:hAnsi="Arial" w:cs="Arial"/>
                <w:b/>
                <w:noProof/>
                <w:webHidden/>
                <w:sz w:val="22"/>
              </w:rPr>
              <w:instrText xml:space="preserve"> PAGEREF _Toc497213369 \h </w:instrText>
            </w:r>
            <w:r w:rsidR="00280B17" w:rsidRPr="00E478F8">
              <w:rPr>
                <w:rFonts w:ascii="Arial" w:hAnsi="Arial" w:cs="Arial"/>
                <w:b/>
                <w:noProof/>
                <w:webHidden/>
                <w:sz w:val="22"/>
              </w:rPr>
            </w:r>
            <w:r w:rsidR="00280B17" w:rsidRPr="00E478F8">
              <w:rPr>
                <w:rFonts w:ascii="Arial" w:hAnsi="Arial" w:cs="Arial"/>
                <w:b/>
                <w:noProof/>
                <w:webHidden/>
                <w:sz w:val="22"/>
              </w:rPr>
              <w:fldChar w:fldCharType="separate"/>
            </w:r>
            <w:r w:rsidR="00C94735">
              <w:rPr>
                <w:rFonts w:ascii="Arial" w:hAnsi="Arial" w:cs="Arial"/>
                <w:b/>
                <w:noProof/>
                <w:webHidden/>
                <w:sz w:val="22"/>
              </w:rPr>
              <w:t>22</w:t>
            </w:r>
            <w:r w:rsidR="00280B17" w:rsidRPr="00E478F8">
              <w:rPr>
                <w:rFonts w:ascii="Arial" w:hAnsi="Arial" w:cs="Arial"/>
                <w:b/>
                <w:noProof/>
                <w:webHidden/>
                <w:sz w:val="22"/>
              </w:rPr>
              <w:fldChar w:fldCharType="end"/>
            </w:r>
          </w:hyperlink>
        </w:p>
        <w:p w:rsidR="00280B17" w:rsidRPr="00E478F8" w:rsidRDefault="006F0DF4" w:rsidP="00E478F8">
          <w:pPr>
            <w:pStyle w:val="Sumrio3"/>
            <w:ind w:left="-284" w:right="-568"/>
            <w:rPr>
              <w:rFonts w:ascii="Arial" w:eastAsiaTheme="minorEastAsia" w:hAnsi="Arial" w:cs="Arial"/>
              <w:b/>
              <w:noProof/>
              <w:sz w:val="22"/>
              <w:lang w:eastAsia="pt-BR"/>
            </w:rPr>
          </w:pPr>
          <w:hyperlink w:anchor="_Toc497213370" w:history="1">
            <w:r w:rsidR="00280B17" w:rsidRPr="00E478F8">
              <w:rPr>
                <w:rStyle w:val="Hyperlink"/>
                <w:rFonts w:ascii="Arial" w:hAnsi="Arial" w:cs="Arial"/>
                <w:b/>
                <w:noProof/>
                <w:color w:val="auto"/>
                <w:sz w:val="22"/>
              </w:rPr>
              <w:t>10.2.2</w:t>
            </w:r>
            <w:r w:rsidR="00280B17" w:rsidRPr="00E478F8">
              <w:rPr>
                <w:rFonts w:ascii="Arial" w:eastAsiaTheme="minorEastAsia" w:hAnsi="Arial" w:cs="Arial"/>
                <w:b/>
                <w:noProof/>
                <w:sz w:val="22"/>
                <w:lang w:eastAsia="pt-BR"/>
              </w:rPr>
              <w:tab/>
            </w:r>
            <w:r w:rsidR="00280B17" w:rsidRPr="00E478F8">
              <w:rPr>
                <w:rStyle w:val="Hyperlink"/>
                <w:rFonts w:ascii="Arial" w:hAnsi="Arial" w:cs="Arial"/>
                <w:b/>
                <w:noProof/>
                <w:color w:val="auto"/>
                <w:sz w:val="22"/>
              </w:rPr>
              <w:t>FUNDOS DE INVESTIMENTOS</w:t>
            </w:r>
            <w:r w:rsidR="00280B17" w:rsidRPr="00E478F8">
              <w:rPr>
                <w:rFonts w:ascii="Arial" w:hAnsi="Arial" w:cs="Arial"/>
                <w:b/>
                <w:noProof/>
                <w:webHidden/>
                <w:sz w:val="22"/>
              </w:rPr>
              <w:tab/>
            </w:r>
            <w:r w:rsidR="00280B17" w:rsidRPr="00E478F8">
              <w:rPr>
                <w:rFonts w:ascii="Arial" w:hAnsi="Arial" w:cs="Arial"/>
                <w:b/>
                <w:noProof/>
                <w:webHidden/>
                <w:sz w:val="22"/>
              </w:rPr>
              <w:fldChar w:fldCharType="begin"/>
            </w:r>
            <w:r w:rsidR="00280B17" w:rsidRPr="00E478F8">
              <w:rPr>
                <w:rFonts w:ascii="Arial" w:hAnsi="Arial" w:cs="Arial"/>
                <w:b/>
                <w:noProof/>
                <w:webHidden/>
                <w:sz w:val="22"/>
              </w:rPr>
              <w:instrText xml:space="preserve"> PAGEREF _Toc497213370 \h </w:instrText>
            </w:r>
            <w:r w:rsidR="00280B17" w:rsidRPr="00E478F8">
              <w:rPr>
                <w:rFonts w:ascii="Arial" w:hAnsi="Arial" w:cs="Arial"/>
                <w:b/>
                <w:noProof/>
                <w:webHidden/>
                <w:sz w:val="22"/>
              </w:rPr>
            </w:r>
            <w:r w:rsidR="00280B17" w:rsidRPr="00E478F8">
              <w:rPr>
                <w:rFonts w:ascii="Arial" w:hAnsi="Arial" w:cs="Arial"/>
                <w:b/>
                <w:noProof/>
                <w:webHidden/>
                <w:sz w:val="22"/>
              </w:rPr>
              <w:fldChar w:fldCharType="separate"/>
            </w:r>
            <w:r w:rsidR="00C94735">
              <w:rPr>
                <w:rFonts w:ascii="Arial" w:hAnsi="Arial" w:cs="Arial"/>
                <w:b/>
                <w:noProof/>
                <w:webHidden/>
                <w:sz w:val="22"/>
              </w:rPr>
              <w:t>23</w:t>
            </w:r>
            <w:r w:rsidR="00280B17" w:rsidRPr="00E478F8">
              <w:rPr>
                <w:rFonts w:ascii="Arial" w:hAnsi="Arial" w:cs="Arial"/>
                <w:b/>
                <w:noProof/>
                <w:webHidden/>
                <w:sz w:val="22"/>
              </w:rPr>
              <w:fldChar w:fldCharType="end"/>
            </w:r>
          </w:hyperlink>
        </w:p>
        <w:p w:rsidR="00280B17" w:rsidRPr="00E478F8" w:rsidRDefault="006F0DF4" w:rsidP="00E478F8">
          <w:pPr>
            <w:pStyle w:val="Sumrio3"/>
            <w:ind w:left="-284" w:right="-568"/>
            <w:rPr>
              <w:rFonts w:ascii="Arial" w:eastAsiaTheme="minorEastAsia" w:hAnsi="Arial" w:cs="Arial"/>
              <w:b/>
              <w:noProof/>
              <w:sz w:val="22"/>
              <w:lang w:eastAsia="pt-BR"/>
            </w:rPr>
          </w:pPr>
          <w:hyperlink w:anchor="_Toc497213371" w:history="1">
            <w:r w:rsidR="00280B17" w:rsidRPr="00E478F8">
              <w:rPr>
                <w:rStyle w:val="Hyperlink"/>
                <w:rFonts w:ascii="Arial" w:hAnsi="Arial" w:cs="Arial"/>
                <w:b/>
                <w:noProof/>
                <w:color w:val="auto"/>
                <w:sz w:val="22"/>
              </w:rPr>
              <w:t>10.2.3</w:t>
            </w:r>
            <w:r w:rsidR="00280B17" w:rsidRPr="00E478F8">
              <w:rPr>
                <w:rFonts w:ascii="Arial" w:eastAsiaTheme="minorEastAsia" w:hAnsi="Arial" w:cs="Arial"/>
                <w:b/>
                <w:noProof/>
                <w:sz w:val="22"/>
                <w:lang w:eastAsia="pt-BR"/>
              </w:rPr>
              <w:tab/>
            </w:r>
            <w:r w:rsidR="00280B17" w:rsidRPr="00E478F8">
              <w:rPr>
                <w:rStyle w:val="Hyperlink"/>
                <w:rFonts w:ascii="Arial" w:hAnsi="Arial" w:cs="Arial"/>
                <w:b/>
                <w:noProof/>
                <w:color w:val="auto"/>
                <w:sz w:val="22"/>
              </w:rPr>
              <w:t>TÍTULOS PRIVADOS</w:t>
            </w:r>
            <w:r w:rsidR="00280B17" w:rsidRPr="00E478F8">
              <w:rPr>
                <w:rFonts w:ascii="Arial" w:hAnsi="Arial" w:cs="Arial"/>
                <w:b/>
                <w:noProof/>
                <w:webHidden/>
                <w:sz w:val="22"/>
              </w:rPr>
              <w:tab/>
            </w:r>
            <w:r w:rsidR="00280B17" w:rsidRPr="00E478F8">
              <w:rPr>
                <w:rFonts w:ascii="Arial" w:hAnsi="Arial" w:cs="Arial"/>
                <w:b/>
                <w:noProof/>
                <w:webHidden/>
                <w:sz w:val="22"/>
              </w:rPr>
              <w:fldChar w:fldCharType="begin"/>
            </w:r>
            <w:r w:rsidR="00280B17" w:rsidRPr="00E478F8">
              <w:rPr>
                <w:rFonts w:ascii="Arial" w:hAnsi="Arial" w:cs="Arial"/>
                <w:b/>
                <w:noProof/>
                <w:webHidden/>
                <w:sz w:val="22"/>
              </w:rPr>
              <w:instrText xml:space="preserve"> PAGEREF _Toc497213371 \h </w:instrText>
            </w:r>
            <w:r w:rsidR="00280B17" w:rsidRPr="00E478F8">
              <w:rPr>
                <w:rFonts w:ascii="Arial" w:hAnsi="Arial" w:cs="Arial"/>
                <w:b/>
                <w:noProof/>
                <w:webHidden/>
                <w:sz w:val="22"/>
              </w:rPr>
            </w:r>
            <w:r w:rsidR="00280B17" w:rsidRPr="00E478F8">
              <w:rPr>
                <w:rFonts w:ascii="Arial" w:hAnsi="Arial" w:cs="Arial"/>
                <w:b/>
                <w:noProof/>
                <w:webHidden/>
                <w:sz w:val="22"/>
              </w:rPr>
              <w:fldChar w:fldCharType="separate"/>
            </w:r>
            <w:r w:rsidR="00C94735">
              <w:rPr>
                <w:rFonts w:ascii="Arial" w:hAnsi="Arial" w:cs="Arial"/>
                <w:b/>
                <w:noProof/>
                <w:webHidden/>
                <w:sz w:val="22"/>
              </w:rPr>
              <w:t>23</w:t>
            </w:r>
            <w:r w:rsidR="00280B17" w:rsidRPr="00E478F8">
              <w:rPr>
                <w:rFonts w:ascii="Arial" w:hAnsi="Arial" w:cs="Arial"/>
                <w:b/>
                <w:noProof/>
                <w:webHidden/>
                <w:sz w:val="22"/>
              </w:rPr>
              <w:fldChar w:fldCharType="end"/>
            </w:r>
          </w:hyperlink>
        </w:p>
        <w:p w:rsidR="00280B17" w:rsidRPr="00E478F8" w:rsidRDefault="006F0DF4" w:rsidP="00E478F8">
          <w:pPr>
            <w:pStyle w:val="Sumrio3"/>
            <w:ind w:left="-284" w:right="-568"/>
            <w:rPr>
              <w:rFonts w:ascii="Arial" w:eastAsiaTheme="minorEastAsia" w:hAnsi="Arial" w:cs="Arial"/>
              <w:b/>
              <w:noProof/>
              <w:sz w:val="22"/>
              <w:lang w:eastAsia="pt-BR"/>
            </w:rPr>
          </w:pPr>
          <w:hyperlink w:anchor="_Toc497213372" w:history="1">
            <w:r w:rsidR="00280B17" w:rsidRPr="00E478F8">
              <w:rPr>
                <w:rStyle w:val="Hyperlink"/>
                <w:rFonts w:ascii="Arial" w:hAnsi="Arial" w:cs="Arial"/>
                <w:b/>
                <w:noProof/>
                <w:color w:val="auto"/>
                <w:sz w:val="22"/>
              </w:rPr>
              <w:t>10.2.4</w:t>
            </w:r>
            <w:r w:rsidR="00280B17" w:rsidRPr="00E478F8">
              <w:rPr>
                <w:rFonts w:ascii="Arial" w:eastAsiaTheme="minorEastAsia" w:hAnsi="Arial" w:cs="Arial"/>
                <w:b/>
                <w:noProof/>
                <w:sz w:val="22"/>
                <w:lang w:eastAsia="pt-BR"/>
              </w:rPr>
              <w:tab/>
            </w:r>
            <w:r w:rsidR="00280B17" w:rsidRPr="00E478F8">
              <w:rPr>
                <w:rStyle w:val="Hyperlink"/>
                <w:rFonts w:ascii="Arial" w:hAnsi="Arial" w:cs="Arial"/>
                <w:b/>
                <w:noProof/>
                <w:color w:val="auto"/>
                <w:sz w:val="22"/>
              </w:rPr>
              <w:t>POUPANÇA</w:t>
            </w:r>
            <w:r w:rsidR="00280B17" w:rsidRPr="00E478F8">
              <w:rPr>
                <w:rFonts w:ascii="Arial" w:hAnsi="Arial" w:cs="Arial"/>
                <w:b/>
                <w:noProof/>
                <w:webHidden/>
                <w:sz w:val="22"/>
              </w:rPr>
              <w:tab/>
            </w:r>
            <w:r w:rsidR="00280B17" w:rsidRPr="00E478F8">
              <w:rPr>
                <w:rFonts w:ascii="Arial" w:hAnsi="Arial" w:cs="Arial"/>
                <w:b/>
                <w:noProof/>
                <w:webHidden/>
                <w:sz w:val="22"/>
              </w:rPr>
              <w:fldChar w:fldCharType="begin"/>
            </w:r>
            <w:r w:rsidR="00280B17" w:rsidRPr="00E478F8">
              <w:rPr>
                <w:rFonts w:ascii="Arial" w:hAnsi="Arial" w:cs="Arial"/>
                <w:b/>
                <w:noProof/>
                <w:webHidden/>
                <w:sz w:val="22"/>
              </w:rPr>
              <w:instrText xml:space="preserve"> PAGEREF _Toc497213372 \h </w:instrText>
            </w:r>
            <w:r w:rsidR="00280B17" w:rsidRPr="00E478F8">
              <w:rPr>
                <w:rFonts w:ascii="Arial" w:hAnsi="Arial" w:cs="Arial"/>
                <w:b/>
                <w:noProof/>
                <w:webHidden/>
                <w:sz w:val="22"/>
              </w:rPr>
            </w:r>
            <w:r w:rsidR="00280B17" w:rsidRPr="00E478F8">
              <w:rPr>
                <w:rFonts w:ascii="Arial" w:hAnsi="Arial" w:cs="Arial"/>
                <w:b/>
                <w:noProof/>
                <w:webHidden/>
                <w:sz w:val="22"/>
              </w:rPr>
              <w:fldChar w:fldCharType="separate"/>
            </w:r>
            <w:r w:rsidR="00C94735">
              <w:rPr>
                <w:rFonts w:ascii="Arial" w:hAnsi="Arial" w:cs="Arial"/>
                <w:b/>
                <w:noProof/>
                <w:webHidden/>
                <w:sz w:val="22"/>
              </w:rPr>
              <w:t>24</w:t>
            </w:r>
            <w:r w:rsidR="00280B17" w:rsidRPr="00E478F8">
              <w:rPr>
                <w:rFonts w:ascii="Arial" w:hAnsi="Arial" w:cs="Arial"/>
                <w:b/>
                <w:noProof/>
                <w:webHidden/>
                <w:sz w:val="22"/>
              </w:rPr>
              <w:fldChar w:fldCharType="end"/>
            </w:r>
          </w:hyperlink>
        </w:p>
        <w:p w:rsidR="00280B17" w:rsidRPr="00E478F8" w:rsidRDefault="006F0DF4" w:rsidP="00E478F8">
          <w:pPr>
            <w:pStyle w:val="Sumrio2"/>
            <w:tabs>
              <w:tab w:val="left" w:pos="880"/>
              <w:tab w:val="right" w:leader="dot" w:pos="9061"/>
            </w:tabs>
            <w:spacing w:line="276" w:lineRule="auto"/>
            <w:ind w:left="-284" w:right="-568"/>
            <w:rPr>
              <w:rFonts w:ascii="Arial" w:eastAsiaTheme="minorEastAsia" w:hAnsi="Arial" w:cs="Arial"/>
              <w:b/>
              <w:noProof/>
              <w:color w:val="auto"/>
              <w:sz w:val="22"/>
              <w:lang w:eastAsia="pt-BR"/>
            </w:rPr>
          </w:pPr>
          <w:hyperlink w:anchor="_Toc497213373" w:history="1">
            <w:r w:rsidR="00280B17" w:rsidRPr="00E478F8">
              <w:rPr>
                <w:rStyle w:val="Hyperlink"/>
                <w:rFonts w:ascii="Arial" w:hAnsi="Arial" w:cs="Arial"/>
                <w:b/>
                <w:noProof/>
                <w:color w:val="auto"/>
                <w:sz w:val="22"/>
              </w:rPr>
              <w:t>10.3</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FONTES PRIMÁRIAS DE INFORMAÇÕES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_Toc497213373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24</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660"/>
              <w:tab w:val="right" w:leader="dot" w:pos="9061"/>
            </w:tabs>
            <w:spacing w:line="276" w:lineRule="auto"/>
            <w:ind w:left="-284" w:right="-568"/>
            <w:rPr>
              <w:rFonts w:ascii="Arial" w:eastAsiaTheme="minorEastAsia" w:hAnsi="Arial" w:cs="Arial"/>
              <w:b/>
              <w:noProof/>
              <w:color w:val="auto"/>
              <w:sz w:val="22"/>
              <w:lang w:eastAsia="pt-BR"/>
            </w:rPr>
          </w:pPr>
          <w:hyperlink w:anchor="_Toc497213374" w:history="1">
            <w:r w:rsidR="00280B17" w:rsidRPr="00E478F8">
              <w:rPr>
                <w:rStyle w:val="Hyperlink"/>
                <w:rFonts w:ascii="Arial" w:hAnsi="Arial" w:cs="Arial"/>
                <w:b/>
                <w:noProof/>
                <w:color w:val="auto"/>
                <w:sz w:val="22"/>
              </w:rPr>
              <w:t>11</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CONTROLES INTERNOS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_Toc497213374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26</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left" w:pos="660"/>
              <w:tab w:val="right" w:leader="dot" w:pos="9061"/>
            </w:tabs>
            <w:spacing w:line="276" w:lineRule="auto"/>
            <w:ind w:left="-284" w:right="-568"/>
            <w:rPr>
              <w:rFonts w:ascii="Arial" w:eastAsiaTheme="minorEastAsia" w:hAnsi="Arial" w:cs="Arial"/>
              <w:b/>
              <w:noProof/>
              <w:color w:val="auto"/>
              <w:sz w:val="22"/>
              <w:lang w:eastAsia="pt-BR"/>
            </w:rPr>
          </w:pPr>
          <w:hyperlink w:anchor="_Toc497213375" w:history="1">
            <w:r w:rsidR="00280B17" w:rsidRPr="00E478F8">
              <w:rPr>
                <w:rStyle w:val="Hyperlink"/>
                <w:rFonts w:ascii="Arial" w:hAnsi="Arial" w:cs="Arial"/>
                <w:b/>
                <w:noProof/>
                <w:color w:val="auto"/>
                <w:sz w:val="22"/>
              </w:rPr>
              <w:t>12</w:t>
            </w:r>
            <w:r w:rsidR="00280B17" w:rsidRPr="00E478F8">
              <w:rPr>
                <w:rFonts w:ascii="Arial" w:eastAsiaTheme="minorEastAsia" w:hAnsi="Arial" w:cs="Arial"/>
                <w:b/>
                <w:noProof/>
                <w:color w:val="auto"/>
                <w:sz w:val="22"/>
                <w:lang w:eastAsia="pt-BR"/>
              </w:rPr>
              <w:tab/>
            </w:r>
            <w:r w:rsidR="00280B17" w:rsidRPr="00E478F8">
              <w:rPr>
                <w:rStyle w:val="Hyperlink"/>
                <w:rFonts w:ascii="Arial" w:hAnsi="Arial" w:cs="Arial"/>
                <w:b/>
                <w:noProof/>
                <w:color w:val="auto"/>
                <w:sz w:val="22"/>
              </w:rPr>
              <w:t>DISPOSIÇÕES GERAIS</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_Toc497213375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29</w:t>
            </w:r>
            <w:r w:rsidR="00280B17" w:rsidRPr="00E478F8">
              <w:rPr>
                <w:rFonts w:ascii="Arial" w:hAnsi="Arial" w:cs="Arial"/>
                <w:b/>
                <w:noProof/>
                <w:webHidden/>
                <w:color w:val="auto"/>
                <w:sz w:val="22"/>
              </w:rPr>
              <w:fldChar w:fldCharType="end"/>
            </w:r>
          </w:hyperlink>
        </w:p>
        <w:p w:rsidR="00280B17" w:rsidRPr="00E478F8" w:rsidRDefault="006F0DF4" w:rsidP="00E478F8">
          <w:pPr>
            <w:pStyle w:val="Sumrio1"/>
            <w:tabs>
              <w:tab w:val="right" w:leader="dot" w:pos="9061"/>
            </w:tabs>
            <w:spacing w:line="276" w:lineRule="auto"/>
            <w:ind w:left="-284" w:right="-568"/>
            <w:rPr>
              <w:rFonts w:ascii="Arial" w:eastAsiaTheme="minorEastAsia" w:hAnsi="Arial" w:cs="Arial"/>
              <w:b/>
              <w:noProof/>
              <w:color w:val="auto"/>
              <w:sz w:val="22"/>
              <w:lang w:eastAsia="pt-BR"/>
            </w:rPr>
          </w:pPr>
          <w:hyperlink w:anchor="_Toc497213376" w:history="1">
            <w:r w:rsidR="00280B17" w:rsidRPr="00E478F8">
              <w:rPr>
                <w:rStyle w:val="Hyperlink"/>
                <w:rFonts w:ascii="Arial" w:hAnsi="Arial" w:cs="Arial"/>
                <w:b/>
                <w:noProof/>
                <w:color w:val="auto"/>
                <w:sz w:val="22"/>
              </w:rPr>
              <w:t>DISCLAIMER</w:t>
            </w:r>
            <w:r w:rsidR="00280B17" w:rsidRPr="00E478F8">
              <w:rPr>
                <w:rFonts w:ascii="Arial" w:hAnsi="Arial" w:cs="Arial"/>
                <w:b/>
                <w:noProof/>
                <w:webHidden/>
                <w:color w:val="auto"/>
                <w:sz w:val="22"/>
              </w:rPr>
              <w:tab/>
            </w:r>
            <w:r w:rsidR="00280B17" w:rsidRPr="00E478F8">
              <w:rPr>
                <w:rFonts w:ascii="Arial" w:hAnsi="Arial" w:cs="Arial"/>
                <w:b/>
                <w:noProof/>
                <w:webHidden/>
                <w:color w:val="auto"/>
                <w:sz w:val="22"/>
              </w:rPr>
              <w:fldChar w:fldCharType="begin"/>
            </w:r>
            <w:r w:rsidR="00280B17" w:rsidRPr="00E478F8">
              <w:rPr>
                <w:rFonts w:ascii="Arial" w:hAnsi="Arial" w:cs="Arial"/>
                <w:b/>
                <w:noProof/>
                <w:webHidden/>
                <w:color w:val="auto"/>
                <w:sz w:val="22"/>
              </w:rPr>
              <w:instrText xml:space="preserve"> PAGEREF _Toc497213376 \h </w:instrText>
            </w:r>
            <w:r w:rsidR="00280B17" w:rsidRPr="00E478F8">
              <w:rPr>
                <w:rFonts w:ascii="Arial" w:hAnsi="Arial" w:cs="Arial"/>
                <w:b/>
                <w:noProof/>
                <w:webHidden/>
                <w:color w:val="auto"/>
                <w:sz w:val="22"/>
              </w:rPr>
            </w:r>
            <w:r w:rsidR="00280B17" w:rsidRPr="00E478F8">
              <w:rPr>
                <w:rFonts w:ascii="Arial" w:hAnsi="Arial" w:cs="Arial"/>
                <w:b/>
                <w:noProof/>
                <w:webHidden/>
                <w:color w:val="auto"/>
                <w:sz w:val="22"/>
              </w:rPr>
              <w:fldChar w:fldCharType="separate"/>
            </w:r>
            <w:r w:rsidR="00C94735">
              <w:rPr>
                <w:rFonts w:ascii="Arial" w:hAnsi="Arial" w:cs="Arial"/>
                <w:b/>
                <w:noProof/>
                <w:webHidden/>
                <w:color w:val="auto"/>
                <w:sz w:val="22"/>
              </w:rPr>
              <w:t>30</w:t>
            </w:r>
            <w:r w:rsidR="00280B17" w:rsidRPr="00E478F8">
              <w:rPr>
                <w:rFonts w:ascii="Arial" w:hAnsi="Arial" w:cs="Arial"/>
                <w:b/>
                <w:noProof/>
                <w:webHidden/>
                <w:color w:val="auto"/>
                <w:sz w:val="22"/>
              </w:rPr>
              <w:fldChar w:fldCharType="end"/>
            </w:r>
          </w:hyperlink>
        </w:p>
        <w:p w:rsidR="00280B17" w:rsidRPr="00E478F8" w:rsidRDefault="00280B17" w:rsidP="00E478F8">
          <w:pPr>
            <w:spacing w:beforeLines="120" w:before="288" w:after="0" w:line="276" w:lineRule="auto"/>
            <w:ind w:left="-284" w:right="-568"/>
            <w:jc w:val="both"/>
            <w:rPr>
              <w:rFonts w:ascii="Arial" w:hAnsi="Arial" w:cs="Arial"/>
              <w:b/>
              <w:bCs/>
            </w:rPr>
          </w:pPr>
          <w:r w:rsidRPr="00E478F8">
            <w:rPr>
              <w:rFonts w:ascii="Arial" w:hAnsi="Arial" w:cs="Arial"/>
              <w:b/>
              <w:bCs/>
            </w:rPr>
            <w:fldChar w:fldCharType="end"/>
          </w:r>
          <w:r w:rsidRPr="00E478F8">
            <w:rPr>
              <w:rFonts w:ascii="Arial" w:hAnsi="Arial" w:cs="Arial"/>
              <w:b/>
              <w:bCs/>
            </w:rPr>
            <w:br w:type="page"/>
          </w:r>
        </w:p>
      </w:sdtContent>
    </w:sdt>
    <w:p w:rsidR="00280B17" w:rsidRPr="00E478F8" w:rsidRDefault="00280B17" w:rsidP="00E478F8">
      <w:pPr>
        <w:pStyle w:val="Ttulo1"/>
        <w:spacing w:line="276" w:lineRule="auto"/>
        <w:ind w:left="-284" w:right="-568"/>
        <w:rPr>
          <w:rFonts w:ascii="Arial" w:hAnsi="Arial" w:cs="Arial"/>
          <w:color w:val="auto"/>
          <w:sz w:val="22"/>
          <w:szCs w:val="22"/>
        </w:rPr>
      </w:pPr>
      <w:bookmarkStart w:id="1" w:name="_Toc435202736"/>
      <w:bookmarkStart w:id="2" w:name="_Toc497213341"/>
      <w:r w:rsidRPr="00E478F8">
        <w:rPr>
          <w:rFonts w:ascii="Arial" w:hAnsi="Arial" w:cs="Arial"/>
          <w:color w:val="auto"/>
          <w:sz w:val="22"/>
          <w:szCs w:val="22"/>
        </w:rPr>
        <w:lastRenderedPageBreak/>
        <w:t>INTRODUÇÃO</w:t>
      </w:r>
      <w:bookmarkEnd w:id="1"/>
      <w:bookmarkEnd w:id="2"/>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Atendendo à Resolução do Conselho Monetário Nacional - CMN nº 3.922, de 25 de novembro de 2010, alterada pela Resolução CMN n° 4.392, de 19 de dezembro de 2014 e pela Resolução CMN n° 4.604, de 19 de outubro de 2017, doravante denominada simplesmente “Resolução CMN nº 3.922/2010”, o Comitê de Investimentos, Conselho Curador e a Diretoria Executiva do INSTITUTO DE PREVIDÊNCIA SOCIAL DOS SERVIDORES MUNICIPAIS DE NOVA ALVORADA DO SUL, apresenta sua Política de Investimentos para o exercício de 2018, aprovada por seu órgão superior competente.</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A elaboração da Política de Investimentos representa uma formalidade legal que fundamenta e norteia </w:t>
      </w:r>
      <w:proofErr w:type="gramStart"/>
      <w:r w:rsidRPr="00E478F8">
        <w:rPr>
          <w:rFonts w:ascii="Arial" w:hAnsi="Arial" w:cs="Arial"/>
          <w:bCs/>
        </w:rPr>
        <w:t>todos os processos de tomada de decisões relativo aos investimentos dos Regimes Próprios de Previdência Social</w:t>
      </w:r>
      <w:proofErr w:type="gramEnd"/>
      <w:r w:rsidRPr="00E478F8">
        <w:rPr>
          <w:rFonts w:ascii="Arial" w:hAnsi="Arial" w:cs="Arial"/>
          <w:bCs/>
        </w:rPr>
        <w:t xml:space="preserve"> – RPPS, empregada como instrumento necessário para garantir a consistência da gestão dos recursos em busca do equilíbrio econômico-financeiro.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rsidR="00280B17" w:rsidRPr="00E478F8" w:rsidRDefault="00280B17" w:rsidP="00E478F8">
      <w:pPr>
        <w:spacing w:line="276" w:lineRule="auto"/>
        <w:ind w:left="-284" w:right="-568"/>
        <w:rPr>
          <w:rFonts w:ascii="Arial" w:hAnsi="Arial" w:cs="Arial"/>
          <w:bCs/>
        </w:rPr>
      </w:pPr>
      <w:r w:rsidRPr="00E478F8">
        <w:rPr>
          <w:rFonts w:ascii="Arial" w:hAnsi="Arial" w:cs="Arial"/>
          <w:bCs/>
        </w:rPr>
        <w:br w:type="page"/>
      </w:r>
    </w:p>
    <w:p w:rsidR="00280B17" w:rsidRPr="00E478F8" w:rsidRDefault="00280B17" w:rsidP="00E478F8">
      <w:pPr>
        <w:pStyle w:val="Ttulo1"/>
        <w:spacing w:line="276" w:lineRule="auto"/>
        <w:ind w:left="0" w:right="-568" w:firstLine="0"/>
        <w:rPr>
          <w:rFonts w:ascii="Arial" w:hAnsi="Arial" w:cs="Arial"/>
          <w:color w:val="auto"/>
          <w:sz w:val="22"/>
          <w:szCs w:val="22"/>
        </w:rPr>
      </w:pPr>
      <w:bookmarkStart w:id="3" w:name="_Toc435202737"/>
      <w:bookmarkStart w:id="4" w:name="_Toc490036539"/>
      <w:bookmarkStart w:id="5" w:name="_Toc497213342"/>
      <w:r w:rsidRPr="00E478F8">
        <w:rPr>
          <w:rFonts w:ascii="Arial" w:hAnsi="Arial" w:cs="Arial"/>
          <w:color w:val="auto"/>
          <w:sz w:val="22"/>
          <w:szCs w:val="22"/>
        </w:rPr>
        <w:lastRenderedPageBreak/>
        <w:t>OBJETIVO</w:t>
      </w:r>
      <w:bookmarkEnd w:id="3"/>
      <w:bookmarkEnd w:id="4"/>
      <w:bookmarkEnd w:id="5"/>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 Política de Investimentos do INSTITUTO DE PREVIDÊNCIA SOCIAL DOS SERVIDORES MUNICIPAIS DE NOVA ALVORADA DO SUL 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 motivação, adequação à natureza de suas obrigações e transparência.</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 Política de Investimentos tem ainda, como objetivo específico, zelar pela eficiência na condução das operações relativas às aplicações dos recursos, buscando alocar os investimentos em instituições que possuam as seguintes características: solidez patrimonial, experiência positiva no exercício da atividade de administração e gestão de grandes volumes de recursos e em ativos com adequada relação risco X retorno.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Os responsáveis pela gestão do INSTITUTO DE PREVIDÊNCIA SOCIAL DOS SERVIDORES MUNICIPAIS DE NOVA ALVORADA DO SUL têm como objetividade a contínua busca pela ciência do conhecimento técnico, exercendo suas atividades com boa fé, legalidade e diligência; zelando pelos elevados padrões éticos, adotando as melhores práticas que visem garantir o cumprimento de suas obrigações.</w:t>
      </w:r>
    </w:p>
    <w:p w:rsidR="00280B17" w:rsidRPr="00E478F8" w:rsidRDefault="00280B17" w:rsidP="00E478F8">
      <w:pPr>
        <w:spacing w:line="276" w:lineRule="auto"/>
        <w:ind w:left="-284" w:right="-568"/>
        <w:rPr>
          <w:rFonts w:ascii="Arial" w:hAnsi="Arial" w:cs="Arial"/>
          <w:bCs/>
        </w:rPr>
      </w:pPr>
      <w:r w:rsidRPr="00E478F8">
        <w:rPr>
          <w:rFonts w:ascii="Arial" w:hAnsi="Arial" w:cs="Arial"/>
          <w:bCs/>
        </w:rPr>
        <w:br w:type="page"/>
      </w:r>
    </w:p>
    <w:p w:rsidR="00280B17" w:rsidRPr="00E478F8" w:rsidRDefault="00280B17" w:rsidP="00E478F8">
      <w:pPr>
        <w:pStyle w:val="Ttulo1"/>
        <w:spacing w:after="240" w:line="276" w:lineRule="auto"/>
        <w:ind w:left="-284" w:right="-568" w:firstLine="0"/>
        <w:rPr>
          <w:rFonts w:ascii="Arial" w:hAnsi="Arial" w:cs="Arial"/>
          <w:color w:val="auto"/>
          <w:sz w:val="22"/>
          <w:szCs w:val="22"/>
        </w:rPr>
      </w:pPr>
      <w:bookmarkStart w:id="6" w:name="_Toc435202738"/>
      <w:bookmarkStart w:id="7" w:name="_Toc497213343"/>
      <w:bookmarkStart w:id="8" w:name="_Toc490036540"/>
      <w:r w:rsidRPr="00E478F8">
        <w:rPr>
          <w:rFonts w:ascii="Arial" w:hAnsi="Arial" w:cs="Arial"/>
          <w:color w:val="auto"/>
          <w:sz w:val="22"/>
          <w:szCs w:val="22"/>
        </w:rPr>
        <w:lastRenderedPageBreak/>
        <w:t>CENÁRIO ECONÔMICO</w:t>
      </w:r>
      <w:bookmarkStart w:id="9" w:name="_Toc435202739"/>
      <w:bookmarkEnd w:id="6"/>
      <w:bookmarkEnd w:id="7"/>
    </w:p>
    <w:p w:rsidR="00280B17" w:rsidRPr="00E478F8" w:rsidRDefault="00280B17" w:rsidP="00E478F8">
      <w:pPr>
        <w:pStyle w:val="Ttulo2"/>
      </w:pPr>
      <w:bookmarkStart w:id="10" w:name="_Toc490036541"/>
      <w:bookmarkStart w:id="11" w:name="_Toc497213344"/>
      <w:bookmarkEnd w:id="8"/>
      <w:bookmarkEnd w:id="9"/>
      <w:r w:rsidRPr="00E478F8">
        <w:t>INTERNACIONAL</w:t>
      </w:r>
      <w:bookmarkEnd w:id="10"/>
      <w:bookmarkEnd w:id="11"/>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A economia da zona do euro cresceu 0,6% no segundo trimestre de 2017, em relação ao trimestre anterior e 2,2% em relação ao ano anterior, conforme a última estimativa da agência </w:t>
      </w:r>
      <w:proofErr w:type="spellStart"/>
      <w:r w:rsidRPr="00E478F8">
        <w:rPr>
          <w:rFonts w:ascii="Arial" w:hAnsi="Arial" w:cs="Arial"/>
          <w:bCs/>
        </w:rPr>
        <w:t>Eurostat</w:t>
      </w:r>
      <w:proofErr w:type="spellEnd"/>
      <w:r w:rsidRPr="00E478F8">
        <w:rPr>
          <w:rFonts w:ascii="Arial" w:hAnsi="Arial" w:cs="Arial"/>
          <w:bCs/>
        </w:rPr>
        <w:t>. No primeiro trimestre a alta do PIB foi de 0,5%.</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Em agosto, conforme o informado também pela agência </w:t>
      </w:r>
      <w:proofErr w:type="spellStart"/>
      <w:r w:rsidRPr="00E478F8">
        <w:rPr>
          <w:rFonts w:ascii="Arial" w:hAnsi="Arial" w:cs="Arial"/>
          <w:bCs/>
        </w:rPr>
        <w:t>Eurostat</w:t>
      </w:r>
      <w:proofErr w:type="spellEnd"/>
      <w:r w:rsidRPr="00E478F8">
        <w:rPr>
          <w:rFonts w:ascii="Arial" w:hAnsi="Arial" w:cs="Arial"/>
          <w:bCs/>
        </w:rPr>
        <w:t>, a taxa de desemprego na zona do euro permaneceu em 9,1%, a menor marca desde fevereiro de 2009. Era de 18,73 milhões de pessoas o contingente de desempregados.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 taxa de inflação, por sua vez, depois de ter se desacelerado para 1,3% em julho, voltou a acelerar em agosto, mês em que os preços ao consumidor subiram 1,5% em relação ao ano anterior e permaneceu no mesmo patamar em setembro.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Conforme a última estimativa, do Departamento de Comércio, o PIB </w:t>
      </w:r>
      <w:proofErr w:type="spellStart"/>
      <w:r w:rsidRPr="00E478F8">
        <w:rPr>
          <w:rFonts w:ascii="Arial" w:hAnsi="Arial" w:cs="Arial"/>
          <w:bCs/>
        </w:rPr>
        <w:t>am</w:t>
      </w:r>
      <w:r w:rsidR="00E478F8" w:rsidRPr="00E478F8">
        <w:rPr>
          <w:rFonts w:ascii="Arial" w:hAnsi="Arial" w:cs="Arial"/>
          <w:bCs/>
        </w:rPr>
        <w:t>t</w:t>
      </w:r>
      <w:r w:rsidRPr="00E478F8">
        <w:rPr>
          <w:rFonts w:ascii="Arial" w:hAnsi="Arial" w:cs="Arial"/>
          <w:bCs/>
        </w:rPr>
        <w:t>ericano</w:t>
      </w:r>
      <w:proofErr w:type="spellEnd"/>
      <w:r w:rsidRPr="00E478F8">
        <w:rPr>
          <w:rFonts w:ascii="Arial" w:hAnsi="Arial" w:cs="Arial"/>
          <w:bCs/>
        </w:rPr>
        <w:t xml:space="preserve"> no segundo trimestre de 2017 subiu à taxa anual </w:t>
      </w:r>
      <w:proofErr w:type="gramStart"/>
      <w:r w:rsidRPr="00E478F8">
        <w:rPr>
          <w:rFonts w:ascii="Arial" w:hAnsi="Arial" w:cs="Arial"/>
          <w:bCs/>
        </w:rPr>
        <w:t>de3,</w:t>
      </w:r>
      <w:proofErr w:type="gramEnd"/>
      <w:r w:rsidRPr="00E478F8">
        <w:rPr>
          <w:rFonts w:ascii="Arial" w:hAnsi="Arial" w:cs="Arial"/>
          <w:bCs/>
        </w:rPr>
        <w:t>1%, contra 1,2% do trimestre anterior. O maior crescimento foi impulsionado pelos gastos robustos dos consumidores, que cresceram 3,5% entre abril e junho, além dos fortes investimentos empresariais.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O mercado de trabalho, embora ainda robusto, oscilou para baixo em setembro, por conta dos furacões. Nesse mês foram perdidas 33 mil vagas de trabalho não agrícolas, quando a expectativa era da criação de 80 mil. A taxa de desemprego, que era de 4,4% em agosto caiu para 4,2% em setembro.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Por outro lado, com a inflação ainda distante da meta de 2% ao ano, o FED decidiu na reunião realizada no final de setembro, adiar o terceiro aumento dos juros e manter a taxa na faixa de 1% e 1,25% ao ano.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Na China, o PMI de serviços subiu em setembro, atingindo o maior nível desde maio de 2014, sendo que o setor de serviços responde por metade do PIB. No Japão, o presidente do banco central afirmou que a economia está se expandindo e provavelmente, de forma sustentável.</w:t>
      </w:r>
    </w:p>
    <w:p w:rsidR="00280B17" w:rsidRPr="00E478F8" w:rsidRDefault="00280B17" w:rsidP="00E478F8">
      <w:pPr>
        <w:spacing w:beforeLines="120" w:before="288" w:after="240" w:line="276" w:lineRule="auto"/>
        <w:ind w:left="-284" w:right="-568"/>
        <w:jc w:val="both"/>
        <w:rPr>
          <w:rFonts w:ascii="Arial" w:hAnsi="Arial" w:cs="Arial"/>
          <w:b/>
          <w:bCs/>
        </w:rPr>
      </w:pPr>
      <w:r w:rsidRPr="00E478F8">
        <w:rPr>
          <w:rFonts w:ascii="Arial" w:hAnsi="Arial" w:cs="Arial"/>
          <w:b/>
          <w:bCs/>
        </w:rPr>
        <w:t>MERCADO DE RENDA FIXA E RENDA VARIÁVEL</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 xml:space="preserve">No mercado internacional de renda fixa, os títulos do tesouro americano, de 10 anos, que tinham rendimento de 2,12% a.a. no final de agosto, terminaram setembro com um rendimento de 2,32% a.a., ao passo que os emitidos pelo governo britânico rendiam 1,37% a.a. Os emitidos pelo governo alemão, por sua vez, fecharam o mês com rendimento de 0,46%. Paralelamente, o dólar se valorizou 0,59% perante o euro e 2,06% perante o </w:t>
      </w:r>
      <w:proofErr w:type="spellStart"/>
      <w:r w:rsidRPr="00E478F8">
        <w:rPr>
          <w:rFonts w:ascii="Arial" w:hAnsi="Arial" w:cs="Arial"/>
          <w:bCs/>
        </w:rPr>
        <w:t>yen</w:t>
      </w:r>
      <w:proofErr w:type="spellEnd"/>
      <w:r w:rsidRPr="00E478F8">
        <w:rPr>
          <w:rFonts w:ascii="Arial" w:hAnsi="Arial" w:cs="Arial"/>
          <w:bCs/>
        </w:rPr>
        <w:t>, por exemplo.</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lastRenderedPageBreak/>
        <w:t>Já as bolsas internacionais tiveram em setembro resultados bons em sua maioria. Enquanto a bolsa alemã (</w:t>
      </w:r>
      <w:proofErr w:type="spellStart"/>
      <w:r w:rsidRPr="00E478F8">
        <w:rPr>
          <w:rFonts w:ascii="Arial" w:hAnsi="Arial" w:cs="Arial"/>
          <w:bCs/>
        </w:rPr>
        <w:t>Dax</w:t>
      </w:r>
      <w:proofErr w:type="spellEnd"/>
      <w:r w:rsidRPr="00E478F8">
        <w:rPr>
          <w:rFonts w:ascii="Arial" w:hAnsi="Arial" w:cs="Arial"/>
          <w:bCs/>
        </w:rPr>
        <w:t xml:space="preserve">) subiu 6,41% no mês, </w:t>
      </w:r>
      <w:proofErr w:type="gramStart"/>
      <w:r w:rsidRPr="00E478F8">
        <w:rPr>
          <w:rFonts w:ascii="Arial" w:hAnsi="Arial" w:cs="Arial"/>
          <w:bCs/>
        </w:rPr>
        <w:t>a</w:t>
      </w:r>
      <w:proofErr w:type="gramEnd"/>
      <w:r w:rsidRPr="00E478F8">
        <w:rPr>
          <w:rFonts w:ascii="Arial" w:hAnsi="Arial" w:cs="Arial"/>
          <w:bCs/>
        </w:rPr>
        <w:t xml:space="preserve"> inglesa (FTSE 100) caiu 0,78%, mas a bolsa japonesa (</w:t>
      </w:r>
      <w:proofErr w:type="spellStart"/>
      <w:r w:rsidRPr="00E478F8">
        <w:rPr>
          <w:rFonts w:ascii="Arial" w:hAnsi="Arial" w:cs="Arial"/>
          <w:bCs/>
        </w:rPr>
        <w:t>Nikkey</w:t>
      </w:r>
      <w:proofErr w:type="spellEnd"/>
      <w:r w:rsidRPr="00E478F8">
        <w:rPr>
          <w:rFonts w:ascii="Arial" w:hAnsi="Arial" w:cs="Arial"/>
          <w:bCs/>
        </w:rPr>
        <w:t xml:space="preserve"> 225) subiu 3,61%, enquanto a americana (S&amp;P 500) avançou 1,93%, estabelecendo novos recordes.</w:t>
      </w:r>
    </w:p>
    <w:p w:rsidR="00280B17" w:rsidRDefault="00280B17" w:rsidP="00E478F8">
      <w:pPr>
        <w:spacing w:line="276" w:lineRule="auto"/>
        <w:ind w:left="-284" w:right="-568"/>
        <w:jc w:val="both"/>
        <w:rPr>
          <w:rFonts w:ascii="Arial" w:hAnsi="Arial" w:cs="Arial"/>
          <w:bCs/>
        </w:rPr>
      </w:pPr>
      <w:r w:rsidRPr="00E478F8">
        <w:rPr>
          <w:rFonts w:ascii="Arial" w:hAnsi="Arial" w:cs="Arial"/>
          <w:bCs/>
        </w:rPr>
        <w:t>No mercado de commodities, o petróleo tipo Brent subiu no mês 9,85% e registrou o melhor desempenho para um terceiro trimestre, em 13 anos, com os países ricos voltando a consumir em grande escala.</w:t>
      </w:r>
    </w:p>
    <w:p w:rsidR="00E478F8" w:rsidRPr="00E478F8" w:rsidRDefault="00E478F8" w:rsidP="00E478F8">
      <w:pPr>
        <w:spacing w:line="276" w:lineRule="auto"/>
        <w:ind w:left="-284" w:right="-568"/>
        <w:jc w:val="both"/>
        <w:rPr>
          <w:rFonts w:ascii="Arial" w:hAnsi="Arial" w:cs="Arial"/>
          <w:bCs/>
        </w:rPr>
      </w:pPr>
    </w:p>
    <w:p w:rsidR="00280B17" w:rsidRPr="00E478F8" w:rsidRDefault="00280B17" w:rsidP="00E478F8">
      <w:pPr>
        <w:pStyle w:val="Ttulo2"/>
      </w:pPr>
      <w:bookmarkStart w:id="12" w:name="_Toc497213345"/>
      <w:r w:rsidRPr="00E478F8">
        <w:t>NACIONAL</w:t>
      </w:r>
      <w:bookmarkEnd w:id="12"/>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O IBC-B, considerado prévia do PIB, apresentou crescimento de 0,41% em julho, na comparação com junho e 1,41% em um ano. O resultado foi melhor que o esperado pelos analistas e deveu-se à recuperação do consumo das famílias diante da inflação e dos juros em queda. Já em agosto, a produção industrial caiu 0,8%, frustrando as expectativas, mas o faturamento do varejo teve a primeira alta em dois anos com o crescimento de 1,5% no mês.</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Já a taxa de desemprego, que era de 12,8% no trimestre encerrado em julho, recuou para 12,6% no trimestre encerrado em agosto, com 13,1 milhões de pessoas sem trabalho. O rendimento médio real do trabalhador foi de R$ 2.105,00 no final do trimestre.</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Conforme informou o Banco Central, o setor público consolidado registrou déficit primário de R$ 9,5 bilhões em agosto. No ano o déficit primário acumulou R$ 60,9 bilhões e em doze meses R$ 157,8 bilhões (2,44% do PIB).</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As despesas com juros nominais, em doze meses, totalizaram R$ 423,5 bilhões (6,55% do PIB) e o déficit nominal, que inclui o resultado com os juros, foi de R$ 581,3 bilhões (8,98% do PIB), também em doze meses.</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A dívida bruta do governo geral (governo federal mais INSS mais governos regionais) alcançou em janeiro R$ 4,76 trilhões (73,7% do PIB).</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 xml:space="preserve">O Instituto Brasileiro de Geografia e Estatística – IBGE divulgou que a inflação medida pelo Índice Nacional de Preços ao Consumidor Amplo (IPCA), </w:t>
      </w:r>
      <w:proofErr w:type="gramStart"/>
      <w:r w:rsidRPr="00E478F8">
        <w:rPr>
          <w:rFonts w:ascii="Arial" w:hAnsi="Arial" w:cs="Arial"/>
          <w:bCs/>
        </w:rPr>
        <w:t>recuou,</w:t>
      </w:r>
      <w:proofErr w:type="gramEnd"/>
      <w:r w:rsidRPr="00E478F8">
        <w:rPr>
          <w:rFonts w:ascii="Arial" w:hAnsi="Arial" w:cs="Arial"/>
          <w:bCs/>
        </w:rPr>
        <w:t xml:space="preserve"> de agosto para setembro de 0,19% para 0,16%, ainda por conta dos alimentos mais baratos, que compensaram a alta da gasolina. Em doze meses, a alta acumulada foi de 2,54%, bem abaixo do piso da meta que é 3% e no ano, de 1,78%.</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Já o Índice Nacional de Preços ao Consumidor (INPC), caiu 0,02% em setembro passando a acumular uma alta de 1,24% no ano e de 1,63% em doze meses.</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lastRenderedPageBreak/>
        <w:t xml:space="preserve">Na reunião realizada no final de setembro, o Copom, por unanimidade, decidiu reduzir a taxa Selic de 9,25% para 8,25% aa, a oitava redução da taxa seguida. No comunicado após a reunião, o comitê afirmou que o cenário externo favorável e a inflação </w:t>
      </w:r>
      <w:proofErr w:type="gramStart"/>
      <w:r w:rsidRPr="00E478F8">
        <w:rPr>
          <w:rFonts w:ascii="Arial" w:hAnsi="Arial" w:cs="Arial"/>
          <w:bCs/>
        </w:rPr>
        <w:t>sob controle</w:t>
      </w:r>
      <w:proofErr w:type="gramEnd"/>
      <w:r w:rsidRPr="00E478F8">
        <w:rPr>
          <w:rFonts w:ascii="Arial" w:hAnsi="Arial" w:cs="Arial"/>
          <w:bCs/>
        </w:rPr>
        <w:t xml:space="preserve"> colaboraram para a decisão. No entanto, sinalizou que vai reduzir o ritmo de corte na próxima reunião.</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 xml:space="preserve">A taxa de câmbio dólar x real, denominada </w:t>
      </w:r>
      <w:proofErr w:type="spellStart"/>
      <w:r w:rsidRPr="00E478F8">
        <w:rPr>
          <w:rFonts w:ascii="Arial" w:hAnsi="Arial" w:cs="Arial"/>
          <w:bCs/>
        </w:rPr>
        <w:t>P-Tax</w:t>
      </w:r>
      <w:proofErr w:type="spellEnd"/>
      <w:r w:rsidRPr="00E478F8">
        <w:rPr>
          <w:rFonts w:ascii="Arial" w:hAnsi="Arial" w:cs="Arial"/>
          <w:bCs/>
        </w:rPr>
        <w:t xml:space="preserve"> 800 encerrou o mês de </w:t>
      </w:r>
      <w:proofErr w:type="gramStart"/>
      <w:r w:rsidRPr="00E478F8">
        <w:rPr>
          <w:rFonts w:ascii="Arial" w:hAnsi="Arial" w:cs="Arial"/>
          <w:bCs/>
        </w:rPr>
        <w:t>setembro cotada</w:t>
      </w:r>
      <w:proofErr w:type="gramEnd"/>
      <w:r w:rsidRPr="00E478F8">
        <w:rPr>
          <w:rFonts w:ascii="Arial" w:hAnsi="Arial" w:cs="Arial"/>
          <w:bCs/>
        </w:rPr>
        <w:t xml:space="preserve"> em R$ 3,168, com uma valorização de 0,66% no mês.</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Em agosto, as transações correntes, apresentaram déficit de US$ 302 milhões, acumulando em doze meses saldo negativo de US$ 13,5 bilhões.</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 xml:space="preserve">Os Investimentos Estrangeiros Diretos – IED apresentaram um ingresso líquido de US$ 5,1 bilhões no mês, </w:t>
      </w:r>
      <w:proofErr w:type="gramStart"/>
      <w:r w:rsidRPr="00E478F8">
        <w:rPr>
          <w:rFonts w:ascii="Arial" w:hAnsi="Arial" w:cs="Arial"/>
          <w:bCs/>
        </w:rPr>
        <w:t>as</w:t>
      </w:r>
      <w:proofErr w:type="gramEnd"/>
      <w:r w:rsidRPr="00E478F8">
        <w:rPr>
          <w:rFonts w:ascii="Arial" w:hAnsi="Arial" w:cs="Arial"/>
          <w:bCs/>
        </w:rPr>
        <w:t xml:space="preserve"> reservas internacionais terminaram agosto em US$ 381,8 bilhões e a dívida externa bruta em US$ 315,3 bilhões.</w:t>
      </w:r>
    </w:p>
    <w:p w:rsidR="00280B17"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A Balança Comercial, por sua vez, teve em setembro de 2017 um superávit de US$ 5,17 bilhões, o maior superávit para o mês desde o início da série histórica e acumula no ano um saldo de US$ 53,2 bilhões, recorde para o período.</w:t>
      </w:r>
    </w:p>
    <w:p w:rsidR="00E478F8" w:rsidRPr="00E478F8" w:rsidRDefault="00E478F8" w:rsidP="00E478F8">
      <w:pPr>
        <w:spacing w:beforeLines="120" w:before="288" w:after="240" w:line="276" w:lineRule="auto"/>
        <w:ind w:left="-284" w:right="-568"/>
        <w:jc w:val="both"/>
        <w:rPr>
          <w:rFonts w:ascii="Arial" w:hAnsi="Arial" w:cs="Arial"/>
          <w:bCs/>
        </w:rPr>
      </w:pPr>
    </w:p>
    <w:p w:rsidR="00280B17" w:rsidRPr="00E478F8" w:rsidRDefault="00280B17" w:rsidP="00E478F8">
      <w:pPr>
        <w:spacing w:beforeLines="120" w:before="288" w:after="240" w:line="276" w:lineRule="auto"/>
        <w:ind w:left="-284" w:right="-568"/>
        <w:jc w:val="both"/>
        <w:rPr>
          <w:rFonts w:ascii="Arial" w:hAnsi="Arial" w:cs="Arial"/>
          <w:b/>
          <w:bCs/>
        </w:rPr>
      </w:pPr>
      <w:r w:rsidRPr="00E478F8">
        <w:rPr>
          <w:rFonts w:ascii="Arial" w:hAnsi="Arial" w:cs="Arial"/>
          <w:b/>
          <w:bCs/>
        </w:rPr>
        <w:t>MERCADO DE RENDA FIXA E RENDA VARIÁVEL</w:t>
      </w:r>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 xml:space="preserve">Dos </w:t>
      </w:r>
      <w:proofErr w:type="spellStart"/>
      <w:r w:rsidRPr="00E478F8">
        <w:rPr>
          <w:rFonts w:ascii="Arial" w:hAnsi="Arial" w:cs="Arial"/>
          <w:bCs/>
        </w:rPr>
        <w:t>subíndices</w:t>
      </w:r>
      <w:proofErr w:type="spellEnd"/>
      <w:r w:rsidRPr="00E478F8">
        <w:rPr>
          <w:rFonts w:ascii="Arial" w:hAnsi="Arial" w:cs="Arial"/>
          <w:bCs/>
        </w:rPr>
        <w:t xml:space="preserve"> </w:t>
      </w:r>
      <w:proofErr w:type="spellStart"/>
      <w:r w:rsidRPr="00E478F8">
        <w:rPr>
          <w:rFonts w:ascii="Arial" w:hAnsi="Arial" w:cs="Arial"/>
          <w:bCs/>
        </w:rPr>
        <w:t>Anbima</w:t>
      </w:r>
      <w:proofErr w:type="spellEnd"/>
      <w:r w:rsidRPr="00E478F8">
        <w:rPr>
          <w:rFonts w:ascii="Arial" w:hAnsi="Arial" w:cs="Arial"/>
          <w:bCs/>
        </w:rPr>
        <w:t xml:space="preserve">, que referenciam os fundos compostos por títulos públicos disponíveis para os RPPS, o melhor desempenho no mês de setembro acabou sendo o do </w:t>
      </w:r>
      <w:proofErr w:type="spellStart"/>
      <w:proofErr w:type="gramStart"/>
      <w:r w:rsidRPr="00E478F8">
        <w:rPr>
          <w:rFonts w:ascii="Arial" w:hAnsi="Arial" w:cs="Arial"/>
          <w:bCs/>
        </w:rPr>
        <w:t>IDkA</w:t>
      </w:r>
      <w:proofErr w:type="spellEnd"/>
      <w:proofErr w:type="gramEnd"/>
      <w:r w:rsidRPr="00E478F8">
        <w:rPr>
          <w:rFonts w:ascii="Arial" w:hAnsi="Arial" w:cs="Arial"/>
          <w:bCs/>
        </w:rPr>
        <w:t xml:space="preserve"> 20 (IPCA), com alta de 3,75%, seguido do IMA-B 5+ com alta de 2,40% e do IMA-B Total, com 1,81%. Em doze meses, o melhor desempenho foi também o do </w:t>
      </w:r>
      <w:proofErr w:type="spellStart"/>
      <w:proofErr w:type="gramStart"/>
      <w:r w:rsidRPr="00E478F8">
        <w:rPr>
          <w:rFonts w:ascii="Arial" w:hAnsi="Arial" w:cs="Arial"/>
          <w:bCs/>
        </w:rPr>
        <w:t>IDkA</w:t>
      </w:r>
      <w:proofErr w:type="spellEnd"/>
      <w:proofErr w:type="gramEnd"/>
      <w:r w:rsidRPr="00E478F8">
        <w:rPr>
          <w:rFonts w:ascii="Arial" w:hAnsi="Arial" w:cs="Arial"/>
          <w:bCs/>
        </w:rPr>
        <w:t xml:space="preserve"> 20 (IPCA) com alta de 20,78%, seguido do IRF-M 1+ com alta de 19,22% e do IRF-M Total, com alta de 17,44%.</w:t>
      </w:r>
    </w:p>
    <w:p w:rsidR="00280B17"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Para o Ibovespa, a alta no mês foi de também expressivos 4,88% e agora acumula no ano uma alta de 23,36% e de 27,29% em doze meses. Os juros ainda em queda, a evolução do PIB melhor que a esperada e o ingresso de capital estrangeiro, que no mês foi de R$ 3,79 bilhões, elevando o acumulado no ano para cima de R$ 14,7 bilhões, foram os principais responsáveis pela alta.</w:t>
      </w:r>
    </w:p>
    <w:p w:rsidR="00E478F8" w:rsidRPr="00E478F8" w:rsidRDefault="00E478F8" w:rsidP="00E478F8">
      <w:pPr>
        <w:spacing w:beforeLines="120" w:before="288" w:after="240" w:line="276" w:lineRule="auto"/>
        <w:ind w:left="-284" w:right="-568"/>
        <w:jc w:val="both"/>
        <w:rPr>
          <w:rFonts w:ascii="Arial" w:hAnsi="Arial" w:cs="Arial"/>
          <w:bCs/>
        </w:rPr>
      </w:pPr>
    </w:p>
    <w:p w:rsidR="00280B17" w:rsidRPr="00E478F8" w:rsidRDefault="00280B17" w:rsidP="00E478F8">
      <w:pPr>
        <w:pStyle w:val="Ttulo2"/>
      </w:pPr>
      <w:bookmarkStart w:id="13" w:name="_Toc496794722"/>
      <w:bookmarkStart w:id="14" w:name="_Toc496794723"/>
      <w:bookmarkStart w:id="15" w:name="_Toc496794724"/>
      <w:bookmarkStart w:id="16" w:name="_Toc496794725"/>
      <w:bookmarkStart w:id="17" w:name="_Toc496794726"/>
      <w:bookmarkStart w:id="18" w:name="_Toc496794727"/>
      <w:bookmarkStart w:id="19" w:name="_Toc490036542"/>
      <w:bookmarkStart w:id="20" w:name="_Toc497213346"/>
      <w:bookmarkEnd w:id="13"/>
      <w:bookmarkEnd w:id="14"/>
      <w:bookmarkEnd w:id="15"/>
      <w:bookmarkEnd w:id="16"/>
      <w:bookmarkEnd w:id="17"/>
      <w:bookmarkEnd w:id="18"/>
      <w:r w:rsidRPr="00E478F8">
        <w:t>PERSPECTIVAS</w:t>
      </w:r>
      <w:bookmarkEnd w:id="19"/>
      <w:bookmarkEnd w:id="20"/>
    </w:p>
    <w:p w:rsidR="00280B17" w:rsidRPr="00E478F8" w:rsidRDefault="00280B17" w:rsidP="00E478F8">
      <w:pPr>
        <w:pStyle w:val="Ttulo3"/>
        <w:spacing w:line="276" w:lineRule="auto"/>
        <w:ind w:left="-284" w:right="-568" w:firstLine="0"/>
        <w:rPr>
          <w:rFonts w:ascii="Arial" w:hAnsi="Arial" w:cs="Arial"/>
          <w:color w:val="auto"/>
          <w:sz w:val="22"/>
          <w:szCs w:val="22"/>
        </w:rPr>
      </w:pPr>
      <w:bookmarkStart w:id="21" w:name="_Toc497213347"/>
      <w:r w:rsidRPr="00E478F8">
        <w:rPr>
          <w:rFonts w:ascii="Arial" w:hAnsi="Arial" w:cs="Arial"/>
          <w:color w:val="auto"/>
          <w:sz w:val="22"/>
          <w:szCs w:val="22"/>
        </w:rPr>
        <w:t>INTERNACIONAL</w:t>
      </w:r>
      <w:bookmarkEnd w:id="21"/>
    </w:p>
    <w:p w:rsid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 xml:space="preserve">Cabe destaque a continuada recuperação econômica da zona do euro. Em setembro, as empresas da região cresceram mais rapidamente, num esforço para atender a também crescente demanda. Mas com a inflação ainda abaixo da meta, o BCE, ao manter inalteradas </w:t>
      </w:r>
      <w:r w:rsidRPr="00E478F8">
        <w:rPr>
          <w:rFonts w:ascii="Arial" w:hAnsi="Arial" w:cs="Arial"/>
          <w:bCs/>
        </w:rPr>
        <w:lastRenderedPageBreak/>
        <w:t>as taxas de juros nas mínimas históricas, deixou aberta a porta para a adoção de estímulos monetários adicionais. E nos EUA, o FED reviu para cima a previsão de crescimento dos EUA para 2017, o que pode permitir uma elevação dos juros até o final do ano.</w:t>
      </w:r>
    </w:p>
    <w:p w:rsidR="00E478F8" w:rsidRPr="00E478F8" w:rsidRDefault="00E478F8" w:rsidP="00E478F8">
      <w:pPr>
        <w:spacing w:beforeLines="120" w:before="288" w:after="240" w:line="276" w:lineRule="auto"/>
        <w:ind w:left="-284" w:right="-568"/>
        <w:jc w:val="both"/>
        <w:rPr>
          <w:rFonts w:ascii="Arial" w:hAnsi="Arial" w:cs="Arial"/>
          <w:bCs/>
        </w:rPr>
      </w:pPr>
    </w:p>
    <w:p w:rsidR="00E478F8" w:rsidRDefault="00280B17" w:rsidP="00E478F8">
      <w:pPr>
        <w:pStyle w:val="Ttulo3"/>
        <w:spacing w:line="276" w:lineRule="auto"/>
        <w:ind w:left="-284" w:right="-568" w:firstLine="0"/>
        <w:rPr>
          <w:rFonts w:ascii="Arial" w:hAnsi="Arial" w:cs="Arial"/>
          <w:color w:val="auto"/>
          <w:sz w:val="22"/>
          <w:szCs w:val="22"/>
        </w:rPr>
      </w:pPr>
      <w:bookmarkStart w:id="22" w:name="_Toc497213348"/>
      <w:r w:rsidRPr="00E478F8">
        <w:rPr>
          <w:rFonts w:ascii="Arial" w:hAnsi="Arial" w:cs="Arial"/>
          <w:color w:val="auto"/>
          <w:sz w:val="22"/>
          <w:szCs w:val="22"/>
        </w:rPr>
        <w:t>NACIONAL</w:t>
      </w:r>
      <w:bookmarkEnd w:id="22"/>
    </w:p>
    <w:p w:rsidR="00E478F8" w:rsidRPr="00E478F8" w:rsidRDefault="00E478F8" w:rsidP="00E478F8"/>
    <w:p w:rsidR="00280B17" w:rsidRPr="00E478F8" w:rsidRDefault="00280B17" w:rsidP="00E478F8">
      <w:pPr>
        <w:spacing w:line="276" w:lineRule="auto"/>
        <w:ind w:left="-284" w:right="-568"/>
        <w:jc w:val="both"/>
        <w:rPr>
          <w:rFonts w:ascii="Arial" w:hAnsi="Arial" w:cs="Arial"/>
          <w:bCs/>
        </w:rPr>
      </w:pPr>
      <w:r w:rsidRPr="00E478F8">
        <w:rPr>
          <w:rFonts w:ascii="Arial" w:hAnsi="Arial" w:cs="Arial"/>
          <w:bCs/>
        </w:rPr>
        <w:t>No mercado local, as atenções em setembro estarão voltadas para a próxima reunião do Copom, no dia 25 de outubro, quando nova redução da taxa Selic é esperada, mas em ritmo inferior ao que vinha sendo adotado. O mercado também estará atento ao que ocorre no campo político, sendo que nova denúncia contra o presidente Temer será avaliada pelos parlamentares.</w:t>
      </w:r>
    </w:p>
    <w:p w:rsidR="00280B17" w:rsidRPr="00E478F8" w:rsidRDefault="00280B17" w:rsidP="00E478F8">
      <w:pPr>
        <w:spacing w:line="276" w:lineRule="auto"/>
        <w:ind w:left="-284" w:right="-568"/>
        <w:jc w:val="both"/>
        <w:rPr>
          <w:rFonts w:ascii="Arial" w:hAnsi="Arial" w:cs="Arial"/>
          <w:bCs/>
        </w:rPr>
      </w:pPr>
      <w:r w:rsidRPr="00E478F8">
        <w:rPr>
          <w:rFonts w:ascii="Arial" w:hAnsi="Arial" w:cs="Arial"/>
          <w:bCs/>
        </w:rPr>
        <w:t>Entendemos que, dado o expressivo avanço já ocorrido com os índices que referenciam os fundos de investimentos em títulos públicos, nos meses recentes, por conta da queda da inflação e da redução da taxa Selic, o momento é de realização dos lucros obtidos com as aplicações de longuíssimo prazo.</w:t>
      </w:r>
    </w:p>
    <w:p w:rsidR="00280B17" w:rsidRPr="00E478F8" w:rsidRDefault="00280B17" w:rsidP="00E478F8">
      <w:pPr>
        <w:pStyle w:val="Ttulo2"/>
      </w:pPr>
      <w:bookmarkStart w:id="23" w:name="_Toc496794731"/>
      <w:bookmarkStart w:id="24" w:name="_Toc496794732"/>
      <w:bookmarkStart w:id="25" w:name="_Toc496794733"/>
      <w:bookmarkStart w:id="26" w:name="_Toc496794734"/>
      <w:bookmarkStart w:id="27" w:name="_Toc496794735"/>
      <w:bookmarkStart w:id="28" w:name="_Toc496794736"/>
      <w:bookmarkStart w:id="29" w:name="_Toc496794737"/>
      <w:bookmarkStart w:id="30" w:name="_Toc496794738"/>
      <w:bookmarkStart w:id="31" w:name="_Toc496794739"/>
      <w:bookmarkStart w:id="32" w:name="_Toc496794740"/>
      <w:bookmarkStart w:id="33" w:name="_Toc496794741"/>
      <w:bookmarkStart w:id="34" w:name="_Toc496794742"/>
      <w:bookmarkStart w:id="35" w:name="_Toc496794743"/>
      <w:bookmarkStart w:id="36" w:name="_Toc496794744"/>
      <w:bookmarkStart w:id="37" w:name="_Toc496794745"/>
      <w:bookmarkStart w:id="38" w:name="_Toc496794746"/>
      <w:bookmarkStart w:id="39" w:name="_Toc496794747"/>
      <w:bookmarkStart w:id="40" w:name="_Toc496794748"/>
      <w:bookmarkStart w:id="41" w:name="_Toc496794749"/>
      <w:bookmarkStart w:id="42" w:name="_Toc496794750"/>
      <w:bookmarkStart w:id="43" w:name="_Toc496794751"/>
      <w:bookmarkStart w:id="44" w:name="_Toc496794752"/>
      <w:bookmarkStart w:id="45" w:name="_Toc496794753"/>
      <w:bookmarkStart w:id="46" w:name="_Toc496794754"/>
      <w:bookmarkStart w:id="47" w:name="_Toc496794755"/>
      <w:bookmarkStart w:id="48" w:name="_Toc496794756"/>
      <w:bookmarkStart w:id="49" w:name="_Toc496794757"/>
      <w:bookmarkStart w:id="50" w:name="_Toc496794758"/>
      <w:bookmarkStart w:id="51" w:name="_Toc496794759"/>
      <w:bookmarkStart w:id="52" w:name="_Toc496794760"/>
      <w:bookmarkStart w:id="53" w:name="_Toc496794761"/>
      <w:bookmarkStart w:id="54" w:name="_Toc496794762"/>
      <w:bookmarkStart w:id="55" w:name="_Toc496794763"/>
      <w:bookmarkStart w:id="56" w:name="_Toc490036545"/>
      <w:bookmarkStart w:id="57" w:name="_Toc49721334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478F8">
        <w:t>EXPECTATIVAS DE MERCADO</w:t>
      </w:r>
      <w:bookmarkEnd w:id="56"/>
      <w:bookmarkEnd w:id="57"/>
    </w:p>
    <w:p w:rsidR="00280B17" w:rsidRPr="00E478F8" w:rsidRDefault="00280B17" w:rsidP="00E478F8">
      <w:pPr>
        <w:spacing w:line="276" w:lineRule="auto"/>
        <w:ind w:left="-284" w:right="-568"/>
        <w:jc w:val="center"/>
        <w:rPr>
          <w:rFonts w:ascii="Arial" w:hAnsi="Arial" w:cs="Arial"/>
        </w:rPr>
      </w:pPr>
      <w:bookmarkStart w:id="58" w:name="_Toc435202741"/>
      <w:r w:rsidRPr="00E478F8">
        <w:rPr>
          <w:rFonts w:ascii="Arial" w:hAnsi="Arial" w:cs="Arial"/>
          <w:noProof/>
          <w:lang w:eastAsia="pt-BR"/>
        </w:rPr>
        <w:drawing>
          <wp:inline distT="0" distB="0" distL="0" distR="0" wp14:anchorId="7CD66AD3" wp14:editId="48CD2520">
            <wp:extent cx="5443521" cy="2030819"/>
            <wp:effectExtent l="95250" t="95250" r="100330" b="10287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78" cy="204281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80B17" w:rsidRPr="00E478F8" w:rsidRDefault="00280B17" w:rsidP="00E478F8">
      <w:pPr>
        <w:spacing w:line="276" w:lineRule="auto"/>
        <w:ind w:left="-284" w:right="-568"/>
        <w:rPr>
          <w:rFonts w:ascii="Arial" w:hAnsi="Arial" w:cs="Arial"/>
        </w:rPr>
      </w:pPr>
      <w:r w:rsidRPr="00E478F8">
        <w:rPr>
          <w:rFonts w:ascii="Arial" w:hAnsi="Arial" w:cs="Arial"/>
          <w:bCs/>
        </w:rPr>
        <w:t xml:space="preserve">Fonte: Relatório Focus do Banco Central do </w:t>
      </w:r>
      <w:proofErr w:type="gramStart"/>
      <w:r w:rsidRPr="00E478F8">
        <w:rPr>
          <w:rFonts w:ascii="Arial" w:hAnsi="Arial" w:cs="Arial"/>
          <w:bCs/>
        </w:rPr>
        <w:t>Brasil_2017.</w:t>
      </w:r>
      <w:proofErr w:type="gramEnd"/>
      <w:r w:rsidRPr="00E478F8">
        <w:rPr>
          <w:rFonts w:ascii="Arial" w:hAnsi="Arial" w:cs="Arial"/>
          <w:bCs/>
        </w:rPr>
        <w:t>10_20</w:t>
      </w:r>
    </w:p>
    <w:p w:rsidR="00280B17" w:rsidRPr="00E478F8" w:rsidRDefault="00280B17" w:rsidP="00E478F8">
      <w:pPr>
        <w:spacing w:line="276" w:lineRule="auto"/>
        <w:ind w:left="-284" w:right="-568"/>
        <w:rPr>
          <w:rFonts w:ascii="Arial" w:hAnsi="Arial" w:cs="Arial"/>
          <w:bCs/>
        </w:rPr>
      </w:pPr>
      <w:r w:rsidRPr="00E478F8">
        <w:rPr>
          <w:rFonts w:ascii="Arial" w:hAnsi="Arial" w:cs="Arial"/>
          <w:bCs/>
        </w:rPr>
        <w:br w:type="page"/>
      </w:r>
    </w:p>
    <w:p w:rsidR="00280B17" w:rsidRPr="00E478F8" w:rsidRDefault="00280B17" w:rsidP="00E478F8">
      <w:pPr>
        <w:pStyle w:val="Ttulo1"/>
        <w:spacing w:line="276" w:lineRule="auto"/>
        <w:ind w:left="-284" w:right="-568" w:firstLine="0"/>
        <w:rPr>
          <w:rFonts w:ascii="Arial" w:hAnsi="Arial" w:cs="Arial"/>
          <w:color w:val="auto"/>
          <w:sz w:val="22"/>
          <w:szCs w:val="22"/>
        </w:rPr>
      </w:pPr>
      <w:bookmarkStart w:id="59" w:name="_Toc490036546"/>
      <w:bookmarkStart w:id="60" w:name="_Toc497213350"/>
      <w:r w:rsidRPr="00E478F8">
        <w:rPr>
          <w:rFonts w:ascii="Arial" w:hAnsi="Arial" w:cs="Arial"/>
          <w:color w:val="auto"/>
          <w:sz w:val="22"/>
          <w:szCs w:val="22"/>
        </w:rPr>
        <w:lastRenderedPageBreak/>
        <w:t>ALOCAÇÃO ESTRATÉGICA DOS RECURSOS</w:t>
      </w:r>
      <w:bookmarkEnd w:id="58"/>
      <w:bookmarkEnd w:id="59"/>
      <w:bookmarkEnd w:id="60"/>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Na aplicação dos recursos, os responsáveis pela gestão do RPPS devem observar os limites estabelecidos por esta Política de Investimentos e pela Resolução CMN nº 3.922/2010. Limites estabelecidos mediante estudo do cenário macroeconômico atual e de perspectivas futuras, com as hipóteses razoáveis de realização no curto e médio prazo, conforme descrito abaixo:</w:t>
      </w:r>
    </w:p>
    <w:p w:rsidR="00D755A1" w:rsidRPr="00C82BD6" w:rsidRDefault="00D755A1" w:rsidP="00D755A1">
      <w:pPr>
        <w:spacing w:beforeLines="120" w:before="288" w:after="0" w:line="240" w:lineRule="auto"/>
        <w:jc w:val="center"/>
        <w:rPr>
          <w:bCs/>
          <w:szCs w:val="20"/>
        </w:rPr>
      </w:pPr>
      <w:r w:rsidRPr="00C82BD6">
        <w:rPr>
          <w:bCs/>
          <w:szCs w:val="20"/>
        </w:rPr>
        <w:t>Alocação Estratégica para o exercício de 2018</w:t>
      </w:r>
    </w:p>
    <w:tbl>
      <w:tblPr>
        <w:tblW w:w="5000" w:type="pct"/>
        <w:tblCellMar>
          <w:left w:w="70" w:type="dxa"/>
          <w:right w:w="70" w:type="dxa"/>
        </w:tblCellMar>
        <w:tblLook w:val="04A0" w:firstRow="1" w:lastRow="0" w:firstColumn="1" w:lastColumn="0" w:noHBand="0" w:noVBand="1"/>
      </w:tblPr>
      <w:tblGrid>
        <w:gridCol w:w="716"/>
        <w:gridCol w:w="4228"/>
        <w:gridCol w:w="1151"/>
        <w:gridCol w:w="850"/>
        <w:gridCol w:w="850"/>
        <w:gridCol w:w="849"/>
      </w:tblGrid>
      <w:tr w:rsidR="00D755A1" w:rsidRPr="00C82BD6" w:rsidTr="003F0CBD">
        <w:trPr>
          <w:trHeight w:val="555"/>
        </w:trPr>
        <w:tc>
          <w:tcPr>
            <w:tcW w:w="377" w:type="pct"/>
            <w:tcBorders>
              <w:top w:val="nil"/>
              <w:left w:val="nil"/>
              <w:bottom w:val="nil"/>
              <w:right w:val="nil"/>
            </w:tcBorders>
            <w:shd w:val="clear" w:color="auto" w:fill="auto"/>
            <w:noWrap/>
            <w:vAlign w:val="bottom"/>
            <w:hideMark/>
          </w:tcPr>
          <w:p w:rsidR="00D755A1" w:rsidRPr="00C82BD6" w:rsidRDefault="00D755A1" w:rsidP="003F0CBD">
            <w:pPr>
              <w:spacing w:after="0" w:line="240" w:lineRule="auto"/>
              <w:rPr>
                <w:rFonts w:ascii="Times New Roman" w:eastAsia="Times New Roman" w:hAnsi="Times New Roman"/>
                <w:sz w:val="14"/>
                <w:szCs w:val="24"/>
                <w:lang w:eastAsia="pt-BR"/>
              </w:rPr>
            </w:pPr>
          </w:p>
        </w:tc>
        <w:tc>
          <w:tcPr>
            <w:tcW w:w="2390" w:type="pct"/>
            <w:tcBorders>
              <w:top w:val="nil"/>
              <w:left w:val="nil"/>
              <w:bottom w:val="nil"/>
              <w:right w:val="nil"/>
            </w:tcBorders>
            <w:shd w:val="clear" w:color="auto" w:fill="auto"/>
            <w:noWrap/>
            <w:vAlign w:val="bottom"/>
            <w:hideMark/>
          </w:tcPr>
          <w:p w:rsidR="00D755A1" w:rsidRPr="00C82BD6" w:rsidRDefault="00D755A1" w:rsidP="003F0CBD">
            <w:pPr>
              <w:spacing w:after="0" w:line="240" w:lineRule="auto"/>
              <w:rPr>
                <w:rFonts w:ascii="Times New Roman" w:eastAsia="Times New Roman" w:hAnsi="Times New Roman"/>
                <w:sz w:val="14"/>
                <w:szCs w:val="20"/>
                <w:lang w:eastAsia="pt-BR"/>
              </w:rPr>
            </w:pPr>
          </w:p>
        </w:tc>
        <w:tc>
          <w:tcPr>
            <w:tcW w:w="689" w:type="pct"/>
            <w:tcBorders>
              <w:top w:val="nil"/>
              <w:left w:val="nil"/>
              <w:bottom w:val="nil"/>
              <w:right w:val="nil"/>
            </w:tcBorders>
            <w:shd w:val="clear" w:color="auto" w:fill="auto"/>
            <w:noWrap/>
            <w:vAlign w:val="bottom"/>
            <w:hideMark/>
          </w:tcPr>
          <w:p w:rsidR="00D755A1" w:rsidRPr="00C82BD6" w:rsidRDefault="00D755A1" w:rsidP="003F0CBD">
            <w:pPr>
              <w:spacing w:after="0" w:line="240" w:lineRule="auto"/>
              <w:rPr>
                <w:rFonts w:ascii="Times New Roman" w:eastAsia="Times New Roman" w:hAnsi="Times New Roman"/>
                <w:sz w:val="14"/>
                <w:szCs w:val="20"/>
                <w:lang w:eastAsia="pt-BR"/>
              </w:rPr>
            </w:pPr>
          </w:p>
        </w:tc>
        <w:tc>
          <w:tcPr>
            <w:tcW w:w="154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Estratégia de Alocação - Política de Investimento de 2018</w:t>
            </w:r>
          </w:p>
        </w:tc>
      </w:tr>
      <w:tr w:rsidR="00D755A1" w:rsidRPr="00C82BD6" w:rsidTr="003F0CBD">
        <w:trPr>
          <w:trHeight w:val="465"/>
        </w:trPr>
        <w:tc>
          <w:tcPr>
            <w:tcW w:w="37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Segmento</w:t>
            </w:r>
          </w:p>
        </w:tc>
        <w:tc>
          <w:tcPr>
            <w:tcW w:w="2390" w:type="pct"/>
            <w:tcBorders>
              <w:top w:val="single" w:sz="8" w:space="0" w:color="auto"/>
              <w:left w:val="nil"/>
              <w:bottom w:val="single" w:sz="8" w:space="0" w:color="auto"/>
              <w:right w:val="single" w:sz="4" w:space="0" w:color="auto"/>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Tipo de Ativo</w:t>
            </w:r>
          </w:p>
        </w:tc>
        <w:tc>
          <w:tcPr>
            <w:tcW w:w="689" w:type="pct"/>
            <w:tcBorders>
              <w:top w:val="single" w:sz="8" w:space="0" w:color="auto"/>
              <w:left w:val="nil"/>
              <w:bottom w:val="single" w:sz="8" w:space="0" w:color="auto"/>
              <w:right w:val="single" w:sz="4" w:space="0" w:color="auto"/>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Limite da Resolução CMN %</w:t>
            </w:r>
          </w:p>
        </w:tc>
        <w:tc>
          <w:tcPr>
            <w:tcW w:w="515" w:type="pct"/>
            <w:tcBorders>
              <w:top w:val="nil"/>
              <w:left w:val="single" w:sz="8" w:space="0" w:color="auto"/>
              <w:bottom w:val="single" w:sz="8" w:space="0" w:color="auto"/>
              <w:right w:val="single" w:sz="4" w:space="0" w:color="auto"/>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Limite Inferior (%)</w:t>
            </w:r>
          </w:p>
        </w:tc>
        <w:tc>
          <w:tcPr>
            <w:tcW w:w="515" w:type="pct"/>
            <w:tcBorders>
              <w:top w:val="nil"/>
              <w:left w:val="nil"/>
              <w:bottom w:val="single" w:sz="8" w:space="0" w:color="auto"/>
              <w:right w:val="single" w:sz="4" w:space="0" w:color="auto"/>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Estratégia Alvo (%)</w:t>
            </w:r>
          </w:p>
        </w:tc>
        <w:tc>
          <w:tcPr>
            <w:tcW w:w="515" w:type="pct"/>
            <w:tcBorders>
              <w:top w:val="nil"/>
              <w:left w:val="nil"/>
              <w:bottom w:val="single" w:sz="8" w:space="0" w:color="auto"/>
              <w:right w:val="single" w:sz="8" w:space="0" w:color="auto"/>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Limite Superior (%)</w:t>
            </w:r>
          </w:p>
        </w:tc>
      </w:tr>
      <w:tr w:rsidR="00D755A1" w:rsidRPr="00C82BD6" w:rsidTr="003F0CBD">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Renda Fixa</w:t>
            </w: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Títulos Tesouro Nacional – SELIC - Art. 7º, I, “a”.</w:t>
            </w:r>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Referenciados em 100% títulos TN - Art. 7º, I, </w:t>
            </w:r>
            <w:proofErr w:type="gramStart"/>
            <w:r w:rsidRPr="00C82BD6">
              <w:rPr>
                <w:rFonts w:eastAsia="Times New Roman"/>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70,00%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Referenciados em Índice de Renda Fixa, 100% títulos TN - Art. 7°, I </w:t>
            </w:r>
            <w:proofErr w:type="gramStart"/>
            <w:r w:rsidRPr="00C82BD6">
              <w:rPr>
                <w:rFonts w:eastAsia="Times New Roman"/>
                <w:sz w:val="14"/>
                <w:szCs w:val="16"/>
                <w:lang w:eastAsia="pt-BR"/>
              </w:rPr>
              <w:t>"c"</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Operações compromissadas em títulos TN - Art. 7º, </w:t>
            </w:r>
            <w:proofErr w:type="gramStart"/>
            <w:r w:rsidRPr="00C82BD6">
              <w:rPr>
                <w:rFonts w:eastAsia="Times New Roman"/>
                <w:sz w:val="14"/>
                <w:szCs w:val="16"/>
                <w:lang w:eastAsia="pt-BR"/>
              </w:rPr>
              <w:t>II</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Referenciados RF - Art. 7º, III, Alínea </w:t>
            </w:r>
            <w:proofErr w:type="gramStart"/>
            <w:r w:rsidRPr="00C82BD6">
              <w:rPr>
                <w:rFonts w:eastAsia="Times New Roman"/>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40,00%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Índices Referenciado RF- Art. 7º, III, Alínea </w:t>
            </w:r>
            <w:proofErr w:type="gramStart"/>
            <w:r w:rsidRPr="00C82BD6">
              <w:rPr>
                <w:rFonts w:eastAsia="Times New Roman"/>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Renda Fixa - Art. 7º, IV, Alínea </w:t>
            </w:r>
            <w:proofErr w:type="gramStart"/>
            <w:r w:rsidRPr="00C82BD6">
              <w:rPr>
                <w:rFonts w:eastAsia="Times New Roman"/>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Índices Renda Fixa - Art. 7º, IV, Alínea </w:t>
            </w:r>
            <w:proofErr w:type="gramStart"/>
            <w:r w:rsidRPr="00C82BD6">
              <w:rPr>
                <w:rFonts w:eastAsia="Times New Roman"/>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Letras Imobiliárias Garantidas - Art. 7º, V, Alínea </w:t>
            </w:r>
            <w:proofErr w:type="gramStart"/>
            <w:r w:rsidRPr="00C82BD6">
              <w:rPr>
                <w:rFonts w:eastAsia="Times New Roman"/>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Certificados de Depósitos Bancários - Art. 7º, VI, Alínea </w:t>
            </w:r>
            <w:proofErr w:type="gramStart"/>
            <w:r w:rsidRPr="00C82BD6">
              <w:rPr>
                <w:rFonts w:eastAsia="Times New Roman"/>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Depósito em Poupança - Art. 7º</w:t>
            </w:r>
            <w:proofErr w:type="gramStart"/>
            <w:r w:rsidRPr="00C82BD6">
              <w:rPr>
                <w:rFonts w:eastAsia="Times New Roman"/>
                <w:sz w:val="14"/>
                <w:szCs w:val="16"/>
                <w:lang w:eastAsia="pt-BR"/>
              </w:rPr>
              <w:t>, VI</w:t>
            </w:r>
            <w:proofErr w:type="gramEnd"/>
            <w:r w:rsidRPr="00C82BD6">
              <w:rPr>
                <w:rFonts w:eastAsia="Times New Roman"/>
                <w:sz w:val="14"/>
                <w:szCs w:val="16"/>
                <w:lang w:eastAsia="pt-BR"/>
              </w:rPr>
              <w:t>, Alínea "b"</w:t>
            </w:r>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em Direitos Creditórios - sênior Art. 7º, VII, </w:t>
            </w:r>
            <w:proofErr w:type="gramStart"/>
            <w:r w:rsidRPr="00C82BD6">
              <w:rPr>
                <w:rFonts w:eastAsia="Times New Roman"/>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Renda Fixa "Crédito Privado"- Art. 7º, VII, </w:t>
            </w:r>
            <w:proofErr w:type="gramStart"/>
            <w:r w:rsidRPr="00C82BD6">
              <w:rPr>
                <w:rFonts w:eastAsia="Times New Roman"/>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15"/>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Debêntures Infraestrutura - Art. 7º, VII, </w:t>
            </w:r>
            <w:proofErr w:type="gramStart"/>
            <w:r w:rsidRPr="00C82BD6">
              <w:rPr>
                <w:rFonts w:eastAsia="Times New Roman"/>
                <w:sz w:val="14"/>
                <w:szCs w:val="16"/>
                <w:lang w:eastAsia="pt-BR"/>
              </w:rPr>
              <w:t>"c"</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15"/>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570,00%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25,00%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95,00%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215,00%</w:t>
            </w:r>
          </w:p>
        </w:tc>
      </w:tr>
      <w:tr w:rsidR="00D755A1" w:rsidRPr="00C82BD6" w:rsidTr="003F0CBD">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Renda Variável</w:t>
            </w: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Referenciados em Renda Variável - Art. 8º, I, </w:t>
            </w:r>
            <w:proofErr w:type="gramStart"/>
            <w:r w:rsidRPr="00C82BD6">
              <w:rPr>
                <w:rFonts w:eastAsia="Times New Roman"/>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Índices Referenciados em Renda Variável- Art. 8º, I, </w:t>
            </w:r>
            <w:proofErr w:type="gramStart"/>
            <w:r w:rsidRPr="00C82BD6">
              <w:rPr>
                <w:rFonts w:eastAsia="Times New Roman"/>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em Ações - Art. 8º, II, </w:t>
            </w:r>
            <w:proofErr w:type="gramStart"/>
            <w:r w:rsidRPr="00C82BD6">
              <w:rPr>
                <w:rFonts w:eastAsia="Times New Roman"/>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em Índices de Ações - Art. 8º, II, </w:t>
            </w:r>
            <w:proofErr w:type="gramStart"/>
            <w:r w:rsidRPr="00C82BD6">
              <w:rPr>
                <w:rFonts w:eastAsia="Times New Roman"/>
                <w:sz w:val="14"/>
                <w:szCs w:val="16"/>
                <w:lang w:eastAsia="pt-BR"/>
              </w:rPr>
              <w:t>"b"</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FI Multimercado - Art. 8º, III</w:t>
            </w:r>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00"/>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em Participações - Art. 8º, IV, </w:t>
            </w:r>
            <w:proofErr w:type="gramStart"/>
            <w:r w:rsidRPr="00C82BD6">
              <w:rPr>
                <w:rFonts w:eastAsia="Times New Roman"/>
                <w:sz w:val="14"/>
                <w:szCs w:val="16"/>
                <w:lang w:eastAsia="pt-BR"/>
              </w:rPr>
              <w:t>"a"</w:t>
            </w:r>
            <w:proofErr w:type="gramEnd"/>
          </w:p>
        </w:tc>
        <w:tc>
          <w:tcPr>
            <w:tcW w:w="689" w:type="pct"/>
            <w:tcBorders>
              <w:top w:val="nil"/>
              <w:left w:val="nil"/>
              <w:bottom w:val="single" w:sz="4" w:space="0" w:color="auto"/>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15"/>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nil"/>
              <w:left w:val="nil"/>
              <w:bottom w:val="nil"/>
              <w:right w:val="single" w:sz="4" w:space="0" w:color="auto"/>
            </w:tcBorders>
            <w:shd w:val="clear" w:color="auto" w:fill="auto"/>
            <w:noWrap/>
            <w:vAlign w:val="bottom"/>
            <w:hideMark/>
          </w:tcPr>
          <w:p w:rsidR="00D755A1" w:rsidRPr="00C82BD6" w:rsidRDefault="00D755A1" w:rsidP="003F0CBD">
            <w:pPr>
              <w:spacing w:after="0" w:line="240" w:lineRule="auto"/>
              <w:rPr>
                <w:rFonts w:eastAsia="Times New Roman"/>
                <w:sz w:val="14"/>
                <w:szCs w:val="16"/>
                <w:lang w:eastAsia="pt-BR"/>
              </w:rPr>
            </w:pPr>
            <w:r w:rsidRPr="00C82BD6">
              <w:rPr>
                <w:rFonts w:eastAsia="Times New Roman"/>
                <w:sz w:val="14"/>
                <w:szCs w:val="16"/>
                <w:lang w:eastAsia="pt-BR"/>
              </w:rPr>
              <w:t>FI Imobiliário - Art. 8º, IV, "b"</w:t>
            </w:r>
          </w:p>
        </w:tc>
        <w:tc>
          <w:tcPr>
            <w:tcW w:w="689" w:type="pct"/>
            <w:tcBorders>
              <w:top w:val="nil"/>
              <w:left w:val="nil"/>
              <w:bottom w:val="nil"/>
              <w:right w:val="single" w:sz="4" w:space="0" w:color="auto"/>
            </w:tcBorders>
            <w:shd w:val="clear" w:color="auto" w:fill="auto"/>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515" w:type="pct"/>
            <w:tcBorders>
              <w:top w:val="nil"/>
              <w:left w:val="single" w:sz="8" w:space="0" w:color="auto"/>
              <w:bottom w:val="nil"/>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nil"/>
              <w:right w:val="single" w:sz="4"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515" w:type="pct"/>
            <w:tcBorders>
              <w:top w:val="nil"/>
              <w:left w:val="nil"/>
              <w:bottom w:val="nil"/>
              <w:right w:val="single" w:sz="8" w:space="0" w:color="auto"/>
            </w:tcBorders>
            <w:shd w:val="clear" w:color="000000" w:fill="F2F2F2"/>
            <w:noWrap/>
            <w:vAlign w:val="center"/>
            <w:hideMark/>
          </w:tcPr>
          <w:p w:rsidR="00D755A1" w:rsidRPr="00C82BD6" w:rsidRDefault="00D755A1"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D755A1" w:rsidRPr="00C82BD6" w:rsidTr="003F0CBD">
        <w:trPr>
          <w:trHeight w:val="315"/>
        </w:trPr>
        <w:tc>
          <w:tcPr>
            <w:tcW w:w="377" w:type="pct"/>
            <w:vMerge/>
            <w:tcBorders>
              <w:top w:val="nil"/>
              <w:left w:val="single" w:sz="8" w:space="0" w:color="auto"/>
              <w:bottom w:val="single" w:sz="8" w:space="0" w:color="000000"/>
              <w:right w:val="single" w:sz="8" w:space="0" w:color="auto"/>
            </w:tcBorders>
            <w:vAlign w:val="center"/>
            <w:hideMark/>
          </w:tcPr>
          <w:p w:rsidR="00D755A1" w:rsidRPr="00C82BD6" w:rsidRDefault="00D755A1" w:rsidP="003F0CBD">
            <w:pPr>
              <w:spacing w:after="0" w:line="240" w:lineRule="auto"/>
              <w:rPr>
                <w:rFonts w:eastAsia="Times New Roman"/>
                <w:bCs/>
                <w:sz w:val="14"/>
                <w:szCs w:val="16"/>
                <w:lang w:eastAsia="pt-BR"/>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120,00%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0,00%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5,00%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10,00%</w:t>
            </w:r>
          </w:p>
        </w:tc>
      </w:tr>
      <w:tr w:rsidR="00D755A1" w:rsidRPr="00C82BD6" w:rsidTr="003F0CBD">
        <w:trPr>
          <w:trHeight w:val="315"/>
        </w:trPr>
        <w:tc>
          <w:tcPr>
            <w:tcW w:w="377" w:type="pct"/>
            <w:tcBorders>
              <w:top w:val="nil"/>
              <w:left w:val="nil"/>
              <w:bottom w:val="nil"/>
              <w:right w:val="nil"/>
            </w:tcBorders>
            <w:shd w:val="clear" w:color="auto" w:fill="auto"/>
            <w:noWrap/>
            <w:vAlign w:val="bottom"/>
            <w:hideMark/>
          </w:tcPr>
          <w:p w:rsidR="00D755A1" w:rsidRPr="00C82BD6" w:rsidRDefault="00D755A1" w:rsidP="003F0CBD">
            <w:pPr>
              <w:spacing w:after="0" w:line="240" w:lineRule="auto"/>
              <w:jc w:val="center"/>
              <w:rPr>
                <w:rFonts w:eastAsia="Times New Roman"/>
                <w:bCs/>
                <w:sz w:val="14"/>
                <w:szCs w:val="16"/>
                <w:lang w:eastAsia="pt-BR"/>
              </w:rPr>
            </w:pPr>
          </w:p>
        </w:tc>
        <w:tc>
          <w:tcPr>
            <w:tcW w:w="2390" w:type="pct"/>
            <w:tcBorders>
              <w:top w:val="nil"/>
              <w:left w:val="single" w:sz="8" w:space="0" w:color="auto"/>
              <w:bottom w:val="single" w:sz="8" w:space="0" w:color="auto"/>
              <w:right w:val="single" w:sz="4" w:space="0" w:color="auto"/>
            </w:tcBorders>
            <w:shd w:val="clear" w:color="000000" w:fill="A6A6A6"/>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Total Geral</w:t>
            </w:r>
          </w:p>
        </w:tc>
        <w:tc>
          <w:tcPr>
            <w:tcW w:w="689" w:type="pct"/>
            <w:tcBorders>
              <w:top w:val="nil"/>
              <w:left w:val="nil"/>
              <w:bottom w:val="single" w:sz="8" w:space="0" w:color="auto"/>
              <w:right w:val="single" w:sz="4" w:space="0" w:color="auto"/>
            </w:tcBorders>
            <w:shd w:val="clear" w:color="000000" w:fill="A6A6A6"/>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690,00%</w:t>
            </w:r>
          </w:p>
        </w:tc>
        <w:tc>
          <w:tcPr>
            <w:tcW w:w="515" w:type="pct"/>
            <w:tcBorders>
              <w:top w:val="nil"/>
              <w:left w:val="single" w:sz="8" w:space="0" w:color="auto"/>
              <w:bottom w:val="single" w:sz="8" w:space="0" w:color="auto"/>
              <w:right w:val="single" w:sz="4" w:space="0" w:color="auto"/>
            </w:tcBorders>
            <w:shd w:val="clear" w:color="000000" w:fill="A6A6A6"/>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25,00%</w:t>
            </w:r>
          </w:p>
        </w:tc>
        <w:tc>
          <w:tcPr>
            <w:tcW w:w="515" w:type="pct"/>
            <w:tcBorders>
              <w:top w:val="nil"/>
              <w:left w:val="nil"/>
              <w:bottom w:val="single" w:sz="8" w:space="0" w:color="auto"/>
              <w:right w:val="single" w:sz="4" w:space="0" w:color="auto"/>
            </w:tcBorders>
            <w:shd w:val="clear" w:color="000000" w:fill="A6A6A6"/>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100,00%</w:t>
            </w:r>
          </w:p>
        </w:tc>
        <w:tc>
          <w:tcPr>
            <w:tcW w:w="515" w:type="pct"/>
            <w:tcBorders>
              <w:top w:val="nil"/>
              <w:left w:val="nil"/>
              <w:bottom w:val="single" w:sz="8" w:space="0" w:color="auto"/>
              <w:right w:val="single" w:sz="8" w:space="0" w:color="auto"/>
            </w:tcBorders>
            <w:shd w:val="clear" w:color="000000" w:fill="A6A6A6"/>
            <w:noWrap/>
            <w:vAlign w:val="center"/>
            <w:hideMark/>
          </w:tcPr>
          <w:p w:rsidR="00D755A1" w:rsidRPr="00C82BD6" w:rsidRDefault="00D755A1"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225,00%</w:t>
            </w:r>
          </w:p>
        </w:tc>
      </w:tr>
    </w:tbl>
    <w:p w:rsidR="00D755A1" w:rsidRPr="00C82BD6" w:rsidRDefault="00D755A1" w:rsidP="00D755A1">
      <w:pPr>
        <w:rPr>
          <w:bCs/>
          <w:szCs w:val="20"/>
        </w:rPr>
      </w:pPr>
      <w:r w:rsidRPr="00C82BD6">
        <w:rPr>
          <w:bCs/>
          <w:szCs w:val="20"/>
        </w:rPr>
        <w:br w:type="page"/>
      </w:r>
    </w:p>
    <w:p w:rsidR="00280B17"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lastRenderedPageBreak/>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rsidR="009775E6" w:rsidRPr="00C82BD6" w:rsidRDefault="009775E6" w:rsidP="009775E6">
      <w:pPr>
        <w:spacing w:beforeLines="120" w:before="288" w:after="0" w:line="240" w:lineRule="auto"/>
        <w:jc w:val="center"/>
        <w:rPr>
          <w:bCs/>
          <w:szCs w:val="20"/>
        </w:rPr>
      </w:pPr>
      <w:r w:rsidRPr="00C82BD6">
        <w:rPr>
          <w:bCs/>
          <w:szCs w:val="20"/>
        </w:rPr>
        <w:t>Alocação Estratégica para os próximos cinco anos</w:t>
      </w:r>
    </w:p>
    <w:tbl>
      <w:tblPr>
        <w:tblW w:w="5000" w:type="pct"/>
        <w:tblCellMar>
          <w:left w:w="70" w:type="dxa"/>
          <w:right w:w="70" w:type="dxa"/>
        </w:tblCellMar>
        <w:tblLook w:val="04A0" w:firstRow="1" w:lastRow="0" w:firstColumn="1" w:lastColumn="0" w:noHBand="0" w:noVBand="1"/>
      </w:tblPr>
      <w:tblGrid>
        <w:gridCol w:w="716"/>
        <w:gridCol w:w="4228"/>
        <w:gridCol w:w="1148"/>
        <w:gridCol w:w="1276"/>
        <w:gridCol w:w="1276"/>
      </w:tblGrid>
      <w:tr w:rsidR="009775E6" w:rsidRPr="00C82BD6" w:rsidTr="003F0CBD">
        <w:trPr>
          <w:trHeight w:val="555"/>
        </w:trPr>
        <w:tc>
          <w:tcPr>
            <w:tcW w:w="378" w:type="pct"/>
            <w:tcBorders>
              <w:top w:val="nil"/>
              <w:left w:val="nil"/>
              <w:bottom w:val="nil"/>
              <w:right w:val="nil"/>
            </w:tcBorders>
            <w:shd w:val="clear" w:color="auto" w:fill="auto"/>
            <w:noWrap/>
            <w:vAlign w:val="bottom"/>
            <w:hideMark/>
          </w:tcPr>
          <w:p w:rsidR="009775E6" w:rsidRPr="00C82BD6" w:rsidRDefault="009775E6" w:rsidP="003F0CBD">
            <w:pPr>
              <w:spacing w:after="0" w:line="240" w:lineRule="auto"/>
              <w:rPr>
                <w:rFonts w:ascii="Times New Roman" w:eastAsia="Times New Roman" w:hAnsi="Times New Roman"/>
                <w:sz w:val="14"/>
                <w:szCs w:val="24"/>
                <w:lang w:eastAsia="pt-BR"/>
              </w:rPr>
            </w:pPr>
          </w:p>
        </w:tc>
        <w:tc>
          <w:tcPr>
            <w:tcW w:w="2399" w:type="pct"/>
            <w:tcBorders>
              <w:top w:val="nil"/>
              <w:left w:val="nil"/>
              <w:bottom w:val="nil"/>
              <w:right w:val="nil"/>
            </w:tcBorders>
            <w:shd w:val="clear" w:color="auto" w:fill="auto"/>
            <w:noWrap/>
            <w:vAlign w:val="bottom"/>
            <w:hideMark/>
          </w:tcPr>
          <w:p w:rsidR="009775E6" w:rsidRPr="00C82BD6" w:rsidRDefault="009775E6" w:rsidP="003F0CBD">
            <w:pPr>
              <w:spacing w:after="0" w:line="240" w:lineRule="auto"/>
              <w:rPr>
                <w:rFonts w:ascii="Times New Roman" w:eastAsia="Times New Roman" w:hAnsi="Times New Roman"/>
                <w:sz w:val="14"/>
                <w:szCs w:val="20"/>
                <w:lang w:eastAsia="pt-BR"/>
              </w:rPr>
            </w:pPr>
          </w:p>
        </w:tc>
        <w:tc>
          <w:tcPr>
            <w:tcW w:w="692" w:type="pct"/>
            <w:tcBorders>
              <w:top w:val="nil"/>
              <w:left w:val="nil"/>
              <w:bottom w:val="nil"/>
              <w:right w:val="nil"/>
            </w:tcBorders>
            <w:shd w:val="clear" w:color="auto" w:fill="auto"/>
            <w:noWrap/>
            <w:vAlign w:val="bottom"/>
            <w:hideMark/>
          </w:tcPr>
          <w:p w:rsidR="009775E6" w:rsidRPr="00C82BD6" w:rsidRDefault="009775E6" w:rsidP="003F0CBD">
            <w:pPr>
              <w:spacing w:after="0" w:line="240" w:lineRule="auto"/>
              <w:rPr>
                <w:rFonts w:ascii="Times New Roman" w:eastAsia="Times New Roman" w:hAnsi="Times New Roman"/>
                <w:sz w:val="14"/>
                <w:szCs w:val="20"/>
                <w:lang w:eastAsia="pt-BR"/>
              </w:rPr>
            </w:pPr>
          </w:p>
        </w:tc>
        <w:tc>
          <w:tcPr>
            <w:tcW w:w="1531" w:type="pct"/>
            <w:gridSpan w:val="2"/>
            <w:tcBorders>
              <w:top w:val="single" w:sz="8" w:space="0" w:color="auto"/>
              <w:left w:val="nil"/>
              <w:bottom w:val="single" w:sz="8" w:space="0" w:color="auto"/>
              <w:right w:val="single" w:sz="8" w:space="0" w:color="000000"/>
            </w:tcBorders>
            <w:shd w:val="clear" w:color="000000" w:fill="D9D9D9"/>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Estratégia de Alocação - para os próximos cinco exercícios</w:t>
            </w:r>
          </w:p>
        </w:tc>
      </w:tr>
      <w:tr w:rsidR="009775E6" w:rsidRPr="00C82BD6" w:rsidTr="003F0CBD">
        <w:trPr>
          <w:trHeight w:val="465"/>
        </w:trPr>
        <w:tc>
          <w:tcPr>
            <w:tcW w:w="3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Segmento</w:t>
            </w:r>
          </w:p>
        </w:tc>
        <w:tc>
          <w:tcPr>
            <w:tcW w:w="2399" w:type="pct"/>
            <w:tcBorders>
              <w:top w:val="single" w:sz="8" w:space="0" w:color="auto"/>
              <w:left w:val="nil"/>
              <w:bottom w:val="single" w:sz="8" w:space="0" w:color="auto"/>
              <w:right w:val="single" w:sz="4" w:space="0" w:color="auto"/>
            </w:tcBorders>
            <w:shd w:val="clear" w:color="000000" w:fill="D9D9D9"/>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Tipo de Ativo</w:t>
            </w:r>
          </w:p>
        </w:tc>
        <w:tc>
          <w:tcPr>
            <w:tcW w:w="692" w:type="pct"/>
            <w:tcBorders>
              <w:top w:val="single" w:sz="8" w:space="0" w:color="auto"/>
              <w:left w:val="nil"/>
              <w:bottom w:val="single" w:sz="8" w:space="0" w:color="auto"/>
              <w:right w:val="single" w:sz="4" w:space="0" w:color="auto"/>
            </w:tcBorders>
            <w:shd w:val="clear" w:color="000000" w:fill="D9D9D9"/>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Limite da Resolução CMN %</w:t>
            </w:r>
          </w:p>
        </w:tc>
        <w:tc>
          <w:tcPr>
            <w:tcW w:w="766" w:type="pct"/>
            <w:tcBorders>
              <w:top w:val="nil"/>
              <w:left w:val="nil"/>
              <w:bottom w:val="single" w:sz="8" w:space="0" w:color="auto"/>
              <w:right w:val="single" w:sz="4" w:space="0" w:color="auto"/>
            </w:tcBorders>
            <w:shd w:val="clear" w:color="000000" w:fill="D9D9D9"/>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Limite Inferior (%)</w:t>
            </w:r>
          </w:p>
        </w:tc>
        <w:tc>
          <w:tcPr>
            <w:tcW w:w="765" w:type="pct"/>
            <w:tcBorders>
              <w:top w:val="nil"/>
              <w:left w:val="nil"/>
              <w:bottom w:val="single" w:sz="8" w:space="0" w:color="auto"/>
              <w:right w:val="single" w:sz="8" w:space="0" w:color="auto"/>
            </w:tcBorders>
            <w:shd w:val="clear" w:color="000000" w:fill="D9D9D9"/>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Limite Superior (%)</w:t>
            </w:r>
          </w:p>
        </w:tc>
      </w:tr>
      <w:tr w:rsidR="009775E6" w:rsidRPr="00C82BD6" w:rsidTr="003F0CBD">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Renda Fixa</w:t>
            </w: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Títulos Tesouro Nacional – SELIC - Art. 7º, I, “a”.</w:t>
            </w:r>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Referenciados em 100% títulos TN - Art. 7º, I, </w:t>
            </w:r>
            <w:proofErr w:type="gramStart"/>
            <w:r w:rsidRPr="00C82BD6">
              <w:rPr>
                <w:rFonts w:eastAsia="Times New Roman"/>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70,00%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Referenciados em Índice de Renda Fixa, 100% títulos TN - Art. 7°, I </w:t>
            </w:r>
            <w:proofErr w:type="gramStart"/>
            <w:r w:rsidRPr="00C82BD6">
              <w:rPr>
                <w:rFonts w:eastAsia="Times New Roman"/>
                <w:sz w:val="14"/>
                <w:szCs w:val="16"/>
                <w:lang w:eastAsia="pt-BR"/>
              </w:rPr>
              <w:t>"c"</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Operações compromissadas em títulos TN - Art. 7º, </w:t>
            </w:r>
            <w:proofErr w:type="gramStart"/>
            <w:r w:rsidRPr="00C82BD6">
              <w:rPr>
                <w:rFonts w:eastAsia="Times New Roman"/>
                <w:sz w:val="14"/>
                <w:szCs w:val="16"/>
                <w:lang w:eastAsia="pt-BR"/>
              </w:rPr>
              <w:t>II</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Referenciados RF - Art. 7º, III, Alínea </w:t>
            </w:r>
            <w:proofErr w:type="gramStart"/>
            <w:r w:rsidRPr="00C82BD6">
              <w:rPr>
                <w:rFonts w:eastAsia="Times New Roman"/>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60,00%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40,00%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Índices Referenciado RF- Art. 7º, III, Alínea </w:t>
            </w:r>
            <w:proofErr w:type="gramStart"/>
            <w:r w:rsidRPr="00C82BD6">
              <w:rPr>
                <w:rFonts w:eastAsia="Times New Roman"/>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60,00%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Renda Fixa - Art. 7º, IV, Alínea </w:t>
            </w:r>
            <w:proofErr w:type="gramStart"/>
            <w:r w:rsidRPr="00C82BD6">
              <w:rPr>
                <w:rFonts w:eastAsia="Times New Roman"/>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40,00%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Índices Renda Fixa - Art. 7º, IV, Alínea </w:t>
            </w:r>
            <w:proofErr w:type="gramStart"/>
            <w:r w:rsidRPr="00C82BD6">
              <w:rPr>
                <w:rFonts w:eastAsia="Times New Roman"/>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40,00%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Letras Imobiliárias Garantidas - Art. 7º, V, Alínea </w:t>
            </w:r>
            <w:proofErr w:type="gramStart"/>
            <w:r w:rsidRPr="00C82BD6">
              <w:rPr>
                <w:rFonts w:eastAsia="Times New Roman"/>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Certificados de Depósitos Bancários - Art. 7º, VI, Alínea </w:t>
            </w:r>
            <w:proofErr w:type="gramStart"/>
            <w:r w:rsidRPr="00C82BD6">
              <w:rPr>
                <w:rFonts w:eastAsia="Times New Roman"/>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Depósito em Poupança - Art. 7º</w:t>
            </w:r>
            <w:proofErr w:type="gramStart"/>
            <w:r w:rsidRPr="00C82BD6">
              <w:rPr>
                <w:rFonts w:eastAsia="Times New Roman"/>
                <w:sz w:val="14"/>
                <w:szCs w:val="16"/>
                <w:lang w:eastAsia="pt-BR"/>
              </w:rPr>
              <w:t>, VI</w:t>
            </w:r>
            <w:proofErr w:type="gramEnd"/>
            <w:r w:rsidRPr="00C82BD6">
              <w:rPr>
                <w:rFonts w:eastAsia="Times New Roman"/>
                <w:sz w:val="14"/>
                <w:szCs w:val="16"/>
                <w:lang w:eastAsia="pt-BR"/>
              </w:rPr>
              <w:t>, Alínea "b"</w:t>
            </w:r>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15,00%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em Direitos Creditórios - sênior Art. 7º, VII, </w:t>
            </w:r>
            <w:proofErr w:type="gramStart"/>
            <w:r w:rsidRPr="00C82BD6">
              <w:rPr>
                <w:rFonts w:eastAsia="Times New Roman"/>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Renda Fixa "Crédito Privado"- Art. 7º, VII, </w:t>
            </w:r>
            <w:proofErr w:type="gramStart"/>
            <w:r w:rsidRPr="00C82BD6">
              <w:rPr>
                <w:rFonts w:eastAsia="Times New Roman"/>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15"/>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Debêntures Infraestrutura - Art. 7º, VII, </w:t>
            </w:r>
            <w:proofErr w:type="gramStart"/>
            <w:r w:rsidRPr="00C82BD6">
              <w:rPr>
                <w:rFonts w:eastAsia="Times New Roman"/>
                <w:sz w:val="14"/>
                <w:szCs w:val="16"/>
                <w:lang w:eastAsia="pt-BR"/>
              </w:rPr>
              <w:t>"c"</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15"/>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570,00%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30,00%</w:t>
            </w:r>
          </w:p>
        </w:tc>
        <w:tc>
          <w:tcPr>
            <w:tcW w:w="765" w:type="pct"/>
            <w:tcBorders>
              <w:top w:val="single" w:sz="8" w:space="0" w:color="auto"/>
              <w:left w:val="nil"/>
              <w:bottom w:val="single" w:sz="8" w:space="0" w:color="auto"/>
              <w:right w:val="single" w:sz="8" w:space="0" w:color="auto"/>
            </w:tcBorders>
            <w:shd w:val="clear" w:color="000000" w:fill="D9D9D9"/>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215,00%</w:t>
            </w:r>
          </w:p>
        </w:tc>
      </w:tr>
      <w:tr w:rsidR="009775E6" w:rsidRPr="00C82BD6" w:rsidTr="003F0CBD">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Renda Variável</w:t>
            </w: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Referenciados em Renda Variável - Art. 8º, I, </w:t>
            </w:r>
            <w:proofErr w:type="gramStart"/>
            <w:r w:rsidRPr="00C82BD6">
              <w:rPr>
                <w:rFonts w:eastAsia="Times New Roman"/>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de Índices Referenciados em Renda Variável- Art. 8º, I, </w:t>
            </w:r>
            <w:proofErr w:type="gramStart"/>
            <w:r w:rsidRPr="00C82BD6">
              <w:rPr>
                <w:rFonts w:eastAsia="Times New Roman"/>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30,00%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em Ações - Art. 8º, II, </w:t>
            </w:r>
            <w:proofErr w:type="gramStart"/>
            <w:r w:rsidRPr="00C82BD6">
              <w:rPr>
                <w:rFonts w:eastAsia="Times New Roman"/>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em Índices de Ações - Art. 8º, II, </w:t>
            </w:r>
            <w:proofErr w:type="gramStart"/>
            <w:r w:rsidRPr="00C82BD6">
              <w:rPr>
                <w:rFonts w:eastAsia="Times New Roman"/>
                <w:sz w:val="14"/>
                <w:szCs w:val="16"/>
                <w:lang w:eastAsia="pt-BR"/>
              </w:rPr>
              <w:t>"b"</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FI Multimercado - Art. 8º, III</w:t>
            </w:r>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10,00%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00"/>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 xml:space="preserve">FI em Participações - Art. 8º, IV, </w:t>
            </w:r>
            <w:proofErr w:type="gramStart"/>
            <w:r w:rsidRPr="00C82BD6">
              <w:rPr>
                <w:rFonts w:eastAsia="Times New Roman"/>
                <w:sz w:val="14"/>
                <w:szCs w:val="16"/>
                <w:lang w:eastAsia="pt-BR"/>
              </w:rPr>
              <w:t>"a"</w:t>
            </w:r>
            <w:proofErr w:type="gramEnd"/>
          </w:p>
        </w:tc>
        <w:tc>
          <w:tcPr>
            <w:tcW w:w="692" w:type="pct"/>
            <w:tcBorders>
              <w:top w:val="nil"/>
              <w:left w:val="nil"/>
              <w:bottom w:val="single" w:sz="4" w:space="0" w:color="auto"/>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single" w:sz="4" w:space="0" w:color="auto"/>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15"/>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nil"/>
              <w:left w:val="nil"/>
              <w:bottom w:val="nil"/>
              <w:right w:val="single" w:sz="4" w:space="0" w:color="auto"/>
            </w:tcBorders>
            <w:shd w:val="clear" w:color="auto" w:fill="auto"/>
            <w:noWrap/>
            <w:vAlign w:val="bottom"/>
            <w:hideMark/>
          </w:tcPr>
          <w:p w:rsidR="009775E6" w:rsidRPr="00C82BD6" w:rsidRDefault="009775E6" w:rsidP="003F0CBD">
            <w:pPr>
              <w:spacing w:after="0" w:line="240" w:lineRule="auto"/>
              <w:rPr>
                <w:rFonts w:eastAsia="Times New Roman"/>
                <w:sz w:val="14"/>
                <w:szCs w:val="16"/>
                <w:lang w:eastAsia="pt-BR"/>
              </w:rPr>
            </w:pPr>
            <w:r w:rsidRPr="00C82BD6">
              <w:rPr>
                <w:rFonts w:eastAsia="Times New Roman"/>
                <w:sz w:val="14"/>
                <w:szCs w:val="16"/>
                <w:lang w:eastAsia="pt-BR"/>
              </w:rPr>
              <w:t>FI Imobiliário - Art. 8º, IV, "b"</w:t>
            </w:r>
          </w:p>
        </w:tc>
        <w:tc>
          <w:tcPr>
            <w:tcW w:w="692" w:type="pct"/>
            <w:tcBorders>
              <w:top w:val="nil"/>
              <w:left w:val="nil"/>
              <w:bottom w:val="nil"/>
              <w:right w:val="single" w:sz="4" w:space="0" w:color="auto"/>
            </w:tcBorders>
            <w:shd w:val="clear" w:color="auto" w:fill="auto"/>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5,00%</w:t>
            </w:r>
          </w:p>
        </w:tc>
        <w:tc>
          <w:tcPr>
            <w:tcW w:w="766" w:type="pct"/>
            <w:tcBorders>
              <w:top w:val="nil"/>
              <w:left w:val="nil"/>
              <w:bottom w:val="nil"/>
              <w:right w:val="single" w:sz="4"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c>
          <w:tcPr>
            <w:tcW w:w="765" w:type="pct"/>
            <w:tcBorders>
              <w:top w:val="nil"/>
              <w:left w:val="nil"/>
              <w:bottom w:val="nil"/>
              <w:right w:val="single" w:sz="8" w:space="0" w:color="auto"/>
            </w:tcBorders>
            <w:shd w:val="clear" w:color="000000" w:fill="F2F2F2"/>
            <w:noWrap/>
            <w:vAlign w:val="center"/>
            <w:hideMark/>
          </w:tcPr>
          <w:p w:rsidR="009775E6" w:rsidRPr="00C82BD6" w:rsidRDefault="009775E6" w:rsidP="003F0CBD">
            <w:pPr>
              <w:spacing w:after="0" w:line="240" w:lineRule="auto"/>
              <w:jc w:val="center"/>
              <w:rPr>
                <w:rFonts w:eastAsia="Times New Roman"/>
                <w:sz w:val="14"/>
                <w:szCs w:val="16"/>
                <w:lang w:eastAsia="pt-BR"/>
              </w:rPr>
            </w:pPr>
            <w:r w:rsidRPr="00C82BD6">
              <w:rPr>
                <w:rFonts w:eastAsia="Times New Roman"/>
                <w:sz w:val="14"/>
                <w:szCs w:val="16"/>
                <w:lang w:eastAsia="pt-BR"/>
              </w:rPr>
              <w:t>0,00%</w:t>
            </w:r>
          </w:p>
        </w:tc>
      </w:tr>
      <w:tr w:rsidR="009775E6" w:rsidRPr="00C82BD6" w:rsidTr="003F0CBD">
        <w:trPr>
          <w:trHeight w:val="315"/>
        </w:trPr>
        <w:tc>
          <w:tcPr>
            <w:tcW w:w="378" w:type="pct"/>
            <w:vMerge/>
            <w:tcBorders>
              <w:top w:val="nil"/>
              <w:left w:val="single" w:sz="8" w:space="0" w:color="auto"/>
              <w:bottom w:val="single" w:sz="8" w:space="0" w:color="000000"/>
              <w:right w:val="single" w:sz="8" w:space="0" w:color="auto"/>
            </w:tcBorders>
            <w:vAlign w:val="center"/>
            <w:hideMark/>
          </w:tcPr>
          <w:p w:rsidR="009775E6" w:rsidRPr="00C82BD6" w:rsidRDefault="009775E6" w:rsidP="003F0CBD">
            <w:pPr>
              <w:spacing w:after="0" w:line="240" w:lineRule="auto"/>
              <w:rPr>
                <w:rFonts w:eastAsia="Times New Roman"/>
                <w:bCs/>
                <w:sz w:val="14"/>
                <w:szCs w:val="16"/>
                <w:lang w:eastAsia="pt-BR"/>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120,00%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5,00%</w:t>
            </w:r>
          </w:p>
        </w:tc>
        <w:tc>
          <w:tcPr>
            <w:tcW w:w="765" w:type="pct"/>
            <w:tcBorders>
              <w:top w:val="single" w:sz="8" w:space="0" w:color="auto"/>
              <w:left w:val="nil"/>
              <w:bottom w:val="single" w:sz="8" w:space="0" w:color="auto"/>
              <w:right w:val="single" w:sz="8" w:space="0" w:color="auto"/>
            </w:tcBorders>
            <w:shd w:val="clear" w:color="000000" w:fill="D9D9D9"/>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20,00%</w:t>
            </w:r>
          </w:p>
        </w:tc>
      </w:tr>
      <w:tr w:rsidR="009775E6" w:rsidRPr="00C82BD6" w:rsidTr="003F0CBD">
        <w:trPr>
          <w:trHeight w:val="315"/>
        </w:trPr>
        <w:tc>
          <w:tcPr>
            <w:tcW w:w="378" w:type="pct"/>
            <w:tcBorders>
              <w:top w:val="nil"/>
              <w:left w:val="nil"/>
              <w:bottom w:val="nil"/>
              <w:right w:val="nil"/>
            </w:tcBorders>
            <w:shd w:val="clear" w:color="auto" w:fill="auto"/>
            <w:noWrap/>
            <w:vAlign w:val="bottom"/>
            <w:hideMark/>
          </w:tcPr>
          <w:p w:rsidR="009775E6" w:rsidRPr="00C82BD6" w:rsidRDefault="009775E6" w:rsidP="003F0CBD">
            <w:pPr>
              <w:spacing w:after="0" w:line="240" w:lineRule="auto"/>
              <w:jc w:val="center"/>
              <w:rPr>
                <w:rFonts w:eastAsia="Times New Roman"/>
                <w:bCs/>
                <w:sz w:val="14"/>
                <w:szCs w:val="16"/>
                <w:lang w:eastAsia="pt-BR"/>
              </w:rPr>
            </w:pPr>
          </w:p>
        </w:tc>
        <w:tc>
          <w:tcPr>
            <w:tcW w:w="2399" w:type="pct"/>
            <w:tcBorders>
              <w:top w:val="nil"/>
              <w:left w:val="single" w:sz="8" w:space="0" w:color="auto"/>
              <w:bottom w:val="single" w:sz="8" w:space="0" w:color="auto"/>
              <w:right w:val="single" w:sz="4" w:space="0" w:color="auto"/>
            </w:tcBorders>
            <w:shd w:val="clear" w:color="000000" w:fill="A6A6A6"/>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Total Geral</w:t>
            </w:r>
          </w:p>
        </w:tc>
        <w:tc>
          <w:tcPr>
            <w:tcW w:w="692" w:type="pct"/>
            <w:tcBorders>
              <w:top w:val="nil"/>
              <w:left w:val="nil"/>
              <w:bottom w:val="single" w:sz="8" w:space="0" w:color="auto"/>
              <w:right w:val="single" w:sz="4" w:space="0" w:color="auto"/>
            </w:tcBorders>
            <w:shd w:val="clear" w:color="000000" w:fill="A6A6A6"/>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690,00%</w:t>
            </w:r>
          </w:p>
        </w:tc>
        <w:tc>
          <w:tcPr>
            <w:tcW w:w="766" w:type="pct"/>
            <w:tcBorders>
              <w:top w:val="nil"/>
              <w:left w:val="nil"/>
              <w:bottom w:val="single" w:sz="8" w:space="0" w:color="auto"/>
              <w:right w:val="single" w:sz="4" w:space="0" w:color="auto"/>
            </w:tcBorders>
            <w:shd w:val="clear" w:color="000000" w:fill="A6A6A6"/>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35,00%</w:t>
            </w:r>
          </w:p>
        </w:tc>
        <w:tc>
          <w:tcPr>
            <w:tcW w:w="765" w:type="pct"/>
            <w:tcBorders>
              <w:top w:val="nil"/>
              <w:left w:val="nil"/>
              <w:bottom w:val="single" w:sz="8" w:space="0" w:color="auto"/>
              <w:right w:val="single" w:sz="8" w:space="0" w:color="auto"/>
            </w:tcBorders>
            <w:shd w:val="clear" w:color="000000" w:fill="A6A6A6"/>
            <w:noWrap/>
            <w:vAlign w:val="center"/>
            <w:hideMark/>
          </w:tcPr>
          <w:p w:rsidR="009775E6" w:rsidRPr="00C82BD6" w:rsidRDefault="009775E6" w:rsidP="003F0CBD">
            <w:pPr>
              <w:spacing w:after="0" w:line="240" w:lineRule="auto"/>
              <w:jc w:val="center"/>
              <w:rPr>
                <w:rFonts w:eastAsia="Times New Roman"/>
                <w:bCs/>
                <w:sz w:val="14"/>
                <w:szCs w:val="16"/>
                <w:lang w:eastAsia="pt-BR"/>
              </w:rPr>
            </w:pPr>
            <w:r w:rsidRPr="00C82BD6">
              <w:rPr>
                <w:rFonts w:eastAsia="Times New Roman"/>
                <w:bCs/>
                <w:sz w:val="14"/>
                <w:szCs w:val="16"/>
                <w:lang w:eastAsia="pt-BR"/>
              </w:rPr>
              <w:t>235,00%</w:t>
            </w:r>
          </w:p>
        </w:tc>
      </w:tr>
    </w:tbl>
    <w:p w:rsidR="00D755A1" w:rsidRPr="00E478F8" w:rsidRDefault="00D755A1" w:rsidP="00E478F8">
      <w:pPr>
        <w:spacing w:beforeLines="120" w:before="288" w:after="0" w:line="276" w:lineRule="auto"/>
        <w:ind w:left="-284" w:right="-568"/>
        <w:jc w:val="both"/>
        <w:rPr>
          <w:rFonts w:ascii="Arial" w:hAnsi="Arial" w:cs="Arial"/>
          <w:bCs/>
        </w:rPr>
      </w:pPr>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O INSTITUTO DE PREVIDÊNCIA SOCIAL DOS SERVIDORES MUNICIPAIS DE NOVA ALVORADA DO SUL considera os limites apresentados o resultado da análise feita através das reservas técnicas atuariais (ativos) e as reservas matemáticas (passivo) projetadas pelo cálculo atuarial o que pode exigir maior flexibilidade nos níveis de liquidez da carteira.</w:t>
      </w:r>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lastRenderedPageBreak/>
        <w:t>Serão observados também, a compatibilidades dos ativos investidos com os prazos e taxas das obrigações presentes e futuras do regime.</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61" w:name="_Toc435202742"/>
      <w:bookmarkStart w:id="62" w:name="_Toc490036547"/>
      <w:bookmarkStart w:id="63" w:name="_Toc497213351"/>
      <w:r w:rsidRPr="00E478F8">
        <w:t>SEGMENTO DE RENDA FIXA</w:t>
      </w:r>
      <w:bookmarkEnd w:id="61"/>
      <w:bookmarkEnd w:id="62"/>
      <w:bookmarkEnd w:id="63"/>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Obedecendo-se os limites permitidos pela Resolução CMN n° 3922/2010, propõe-se adotar o, limite de máximo de 100% (cem por cento) dos investimentos financeiros do RPPS, no segmento de renda fixa.</w:t>
      </w:r>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t>A negociação de títulos e valores mobiliários no mercado secundário (compra/venda de títulos públicos) obedecerá ao disposto, Art. 7º, inciso I, alínea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64" w:name="_Toc435202743"/>
      <w:bookmarkStart w:id="65" w:name="_Toc490036548"/>
      <w:bookmarkStart w:id="66" w:name="_Toc497213352"/>
      <w:r w:rsidRPr="00E478F8">
        <w:t>SEGMENTO DE RENDA VARIÁVEL</w:t>
      </w:r>
      <w:bookmarkEnd w:id="64"/>
      <w:bookmarkEnd w:id="65"/>
      <w:r w:rsidRPr="00E478F8">
        <w:t xml:space="preserve"> E INVESTIMENTOS ESTRUTURADOS</w:t>
      </w:r>
      <w:bookmarkEnd w:id="66"/>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Em relação ao segmento de renda variável, cuja limitação legal estabelece que os recursos alocados nos investimentos, cumulativamente, não deverão exceder a 30% (trinta por cento) da totalidade dos recursos em moeda corrente do RPPS, limitar-se-ão a 10% (dez por cento) da totalidade dos investimentos financeiros do RPPS.</w:t>
      </w:r>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t xml:space="preserve">São considerados como investimentos estruturados segundo Resolução CMN n° 3922/2010, os fundos de investimento classificados como multimercado e os fundos de investimento em participações, - </w:t>
      </w:r>
      <w:proofErr w:type="spellStart"/>
      <w:r w:rsidRPr="00E478F8">
        <w:rPr>
          <w:rFonts w:ascii="Arial" w:hAnsi="Arial" w:cs="Arial"/>
          <w:bCs/>
        </w:rPr>
        <w:t>FIPs</w:t>
      </w:r>
      <w:proofErr w:type="spellEnd"/>
      <w:r w:rsidRPr="00E478F8">
        <w:rPr>
          <w:rFonts w:ascii="Arial" w:hAnsi="Arial" w:cs="Arial"/>
          <w:bCs/>
        </w:rPr>
        <w:t>.</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67" w:name="_Toc496794768"/>
      <w:bookmarkStart w:id="68" w:name="_Toc496794769"/>
      <w:bookmarkStart w:id="69" w:name="_Toc496794770"/>
      <w:bookmarkStart w:id="70" w:name="_Toc496794771"/>
      <w:bookmarkStart w:id="71" w:name="_Toc496794772"/>
      <w:bookmarkStart w:id="72" w:name="_Toc490036550"/>
      <w:bookmarkStart w:id="73" w:name="_Toc497213353"/>
      <w:bookmarkEnd w:id="67"/>
      <w:bookmarkEnd w:id="68"/>
      <w:bookmarkEnd w:id="69"/>
      <w:bookmarkEnd w:id="70"/>
      <w:bookmarkEnd w:id="71"/>
      <w:r w:rsidRPr="00E478F8">
        <w:t>ENQUADRAMENTO</w:t>
      </w:r>
      <w:bookmarkEnd w:id="72"/>
      <w:bookmarkEnd w:id="73"/>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O INSTITUTO DE PREVIDÊNCIA SOCIAL DOS SERVIDORES MUNICIPAIS DE NOVA ALVORADA DO SUL considera todos os limites estipulados de enquadramento na Resolução CMN n° 3.922/2010, e como entendimento complementar a Seção III, Subseção V dos Enquadramentos, </w:t>
      </w:r>
      <w:proofErr w:type="gramStart"/>
      <w:r w:rsidRPr="00E478F8">
        <w:rPr>
          <w:rFonts w:ascii="Arial" w:hAnsi="Arial" w:cs="Arial"/>
          <w:bCs/>
        </w:rPr>
        <w:t>destacamos</w:t>
      </w:r>
      <w:proofErr w:type="gramEnd"/>
      <w:r w:rsidRPr="00E478F8">
        <w:rPr>
          <w:rFonts w:ascii="Arial" w:hAnsi="Arial" w:cs="Arial"/>
          <w:bCs/>
        </w:rPr>
        <w:t>:</w:t>
      </w:r>
    </w:p>
    <w:p w:rsidR="00280B17" w:rsidRPr="00E478F8" w:rsidRDefault="00280B17" w:rsidP="00E478F8">
      <w:pPr>
        <w:pStyle w:val="PargrafodaLista"/>
        <w:numPr>
          <w:ilvl w:val="0"/>
          <w:numId w:val="27"/>
        </w:numPr>
        <w:spacing w:beforeLines="120" w:before="288" w:line="276" w:lineRule="auto"/>
        <w:ind w:left="-284" w:right="-568" w:hanging="357"/>
        <w:contextualSpacing w:val="0"/>
        <w:jc w:val="both"/>
        <w:rPr>
          <w:rFonts w:ascii="Arial" w:hAnsi="Arial" w:cs="Arial"/>
          <w:bCs/>
          <w:color w:val="auto"/>
          <w:sz w:val="22"/>
        </w:rPr>
      </w:pPr>
      <w:r w:rsidRPr="00E478F8">
        <w:rPr>
          <w:rFonts w:ascii="Arial" w:hAnsi="Arial" w:cs="Arial"/>
          <w:bCs/>
          <w:color w:val="auto"/>
          <w:sz w:val="22"/>
        </w:rPr>
        <w:t>Os investimentos que estão em desacordo com as novas exigências da Resolução CMN n° 3.922/2010</w:t>
      </w:r>
      <w:proofErr w:type="gramStart"/>
      <w:r w:rsidRPr="00E478F8">
        <w:rPr>
          <w:rFonts w:ascii="Arial" w:hAnsi="Arial" w:cs="Arial"/>
          <w:bCs/>
          <w:color w:val="auto"/>
          <w:sz w:val="22"/>
        </w:rPr>
        <w:t>, poderão</w:t>
      </w:r>
      <w:proofErr w:type="gramEnd"/>
      <w:r w:rsidRPr="00E478F8">
        <w:rPr>
          <w:rFonts w:ascii="Arial" w:hAnsi="Arial" w:cs="Arial"/>
          <w:bCs/>
          <w:color w:val="auto"/>
          <w:sz w:val="22"/>
        </w:rPr>
        <w:t xml:space="preserve"> manter-se em carteira por até 180 dias as aplicações, sendo considerado infringências aportes adicionais;</w:t>
      </w:r>
    </w:p>
    <w:p w:rsidR="00280B17" w:rsidRPr="00E478F8" w:rsidRDefault="00280B17" w:rsidP="00E478F8">
      <w:pPr>
        <w:pStyle w:val="PargrafodaLista"/>
        <w:numPr>
          <w:ilvl w:val="0"/>
          <w:numId w:val="27"/>
        </w:numPr>
        <w:spacing w:beforeLines="120" w:before="288" w:line="276" w:lineRule="auto"/>
        <w:ind w:left="-284" w:right="-568" w:hanging="357"/>
        <w:contextualSpacing w:val="0"/>
        <w:jc w:val="both"/>
        <w:rPr>
          <w:rFonts w:ascii="Arial" w:hAnsi="Arial" w:cs="Arial"/>
          <w:bCs/>
          <w:color w:val="auto"/>
          <w:sz w:val="22"/>
        </w:rPr>
      </w:pPr>
      <w:r w:rsidRPr="00E478F8">
        <w:rPr>
          <w:rFonts w:ascii="Arial" w:hAnsi="Arial" w:cs="Arial"/>
          <w:bCs/>
          <w:color w:val="auto"/>
          <w:sz w:val="22"/>
        </w:rPr>
        <w:lastRenderedPageBreak/>
        <w:t>Poderão ainda ser mantidas em carteira até a respectiva data de vencimento, as aplicações que apresentaram prazos de resgate, carência ou para conversão de cotas, sendo considerado infringências aportes adicionais;</w:t>
      </w:r>
    </w:p>
    <w:p w:rsidR="00280B17" w:rsidRDefault="00280B17" w:rsidP="00E478F8">
      <w:pPr>
        <w:pStyle w:val="PargrafodaLista"/>
        <w:numPr>
          <w:ilvl w:val="0"/>
          <w:numId w:val="27"/>
        </w:numPr>
        <w:spacing w:beforeLines="120" w:before="288" w:line="276" w:lineRule="auto"/>
        <w:ind w:left="-284" w:right="-568" w:hanging="357"/>
        <w:contextualSpacing w:val="0"/>
        <w:jc w:val="both"/>
        <w:rPr>
          <w:rFonts w:ascii="Arial" w:hAnsi="Arial" w:cs="Arial"/>
          <w:bCs/>
          <w:color w:val="auto"/>
          <w:sz w:val="22"/>
        </w:rPr>
      </w:pPr>
      <w:r w:rsidRPr="00E478F8">
        <w:rPr>
          <w:rFonts w:ascii="Arial" w:hAnsi="Arial" w:cs="Arial"/>
          <w:bCs/>
          <w:color w:val="auto"/>
          <w:sz w:val="22"/>
        </w:rPr>
        <w:t xml:space="preserve">Serão entendidos como </w:t>
      </w:r>
      <w:proofErr w:type="spellStart"/>
      <w:r w:rsidRPr="00E478F8">
        <w:rPr>
          <w:rFonts w:ascii="Arial" w:hAnsi="Arial" w:cs="Arial"/>
          <w:bCs/>
          <w:color w:val="auto"/>
          <w:sz w:val="22"/>
        </w:rPr>
        <w:t>desenquadramento</w:t>
      </w:r>
      <w:proofErr w:type="spellEnd"/>
      <w:r w:rsidRPr="00E478F8">
        <w:rPr>
          <w:rFonts w:ascii="Arial" w:hAnsi="Arial" w:cs="Arial"/>
          <w:bCs/>
          <w:color w:val="auto"/>
          <w:sz w:val="22"/>
        </w:rPr>
        <w:t xml:space="preserve"> passivo, os limites excedidos decorrentes de valorização e desvalorização dos ativos ou qualquer tipo de </w:t>
      </w:r>
      <w:proofErr w:type="spellStart"/>
      <w:r w:rsidRPr="00E478F8">
        <w:rPr>
          <w:rFonts w:ascii="Arial" w:hAnsi="Arial" w:cs="Arial"/>
          <w:bCs/>
          <w:color w:val="auto"/>
          <w:sz w:val="22"/>
        </w:rPr>
        <w:t>desenquadramento</w:t>
      </w:r>
      <w:proofErr w:type="spellEnd"/>
      <w:r w:rsidRPr="00E478F8">
        <w:rPr>
          <w:rFonts w:ascii="Arial" w:hAnsi="Arial" w:cs="Arial"/>
          <w:bCs/>
          <w:color w:val="auto"/>
          <w:sz w:val="22"/>
        </w:rPr>
        <w:t xml:space="preserve"> que não tenha sido r</w:t>
      </w:r>
      <w:r w:rsidR="00F8600B">
        <w:rPr>
          <w:rFonts w:ascii="Arial" w:hAnsi="Arial" w:cs="Arial"/>
          <w:bCs/>
          <w:color w:val="auto"/>
          <w:sz w:val="22"/>
        </w:rPr>
        <w:t>esultado de ação direta do RPPS.</w:t>
      </w:r>
    </w:p>
    <w:p w:rsidR="00F8600B" w:rsidRPr="00E478F8" w:rsidRDefault="00F8600B" w:rsidP="00F8600B">
      <w:pPr>
        <w:pStyle w:val="PargrafodaLista"/>
        <w:spacing w:beforeLines="120" w:before="288" w:line="276" w:lineRule="auto"/>
        <w:ind w:left="-284" w:right="-568"/>
        <w:contextualSpacing w:val="0"/>
        <w:jc w:val="both"/>
        <w:rPr>
          <w:rFonts w:ascii="Arial" w:hAnsi="Arial" w:cs="Arial"/>
          <w:bCs/>
          <w:color w:val="auto"/>
          <w:sz w:val="22"/>
        </w:rPr>
      </w:pPr>
    </w:p>
    <w:p w:rsidR="00280B17" w:rsidRPr="00E478F8" w:rsidRDefault="00280B17" w:rsidP="00E478F8">
      <w:pPr>
        <w:pStyle w:val="Ttulo2"/>
      </w:pPr>
      <w:bookmarkStart w:id="74" w:name="_Toc435202745"/>
      <w:bookmarkStart w:id="75" w:name="_Toc490036551"/>
      <w:bookmarkStart w:id="76" w:name="_Toc497213354"/>
      <w:r w:rsidRPr="00E478F8">
        <w:t>VEDAÇÕES</w:t>
      </w:r>
      <w:bookmarkEnd w:id="74"/>
      <w:bookmarkEnd w:id="75"/>
      <w:bookmarkEnd w:id="76"/>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O Comitê de Investimento do INSTITUTO DE PREVIDÊNCIA SOCIAL DOS SERVIDORES MUNICIPAIS DE NOVA ALVORADA DO SUL deverá seguir as vedações estabelecidas pela Resolução CMN n° 3.922/2010, ficando adicionalmente vedada a aquisição de:</w:t>
      </w:r>
    </w:p>
    <w:p w:rsidR="00280B17" w:rsidRPr="00E478F8" w:rsidRDefault="00280B17" w:rsidP="00E478F8">
      <w:pPr>
        <w:numPr>
          <w:ilvl w:val="0"/>
          <w:numId w:val="7"/>
        </w:numPr>
        <w:spacing w:beforeLines="120" w:before="288" w:after="0" w:line="276" w:lineRule="auto"/>
        <w:ind w:left="-284" w:right="-568"/>
        <w:jc w:val="both"/>
        <w:rPr>
          <w:rFonts w:ascii="Arial" w:hAnsi="Arial" w:cs="Arial"/>
          <w:bCs/>
        </w:rPr>
      </w:pPr>
      <w:r w:rsidRPr="00E478F8">
        <w:rPr>
          <w:rFonts w:ascii="Arial" w:hAnsi="Arial" w:cs="Arial"/>
          <w:bCs/>
        </w:rPr>
        <w:t>Operações compromissadas;</w:t>
      </w:r>
    </w:p>
    <w:p w:rsidR="00280B17" w:rsidRPr="00E478F8" w:rsidRDefault="00280B17" w:rsidP="00E478F8">
      <w:pPr>
        <w:numPr>
          <w:ilvl w:val="0"/>
          <w:numId w:val="7"/>
        </w:numPr>
        <w:spacing w:beforeLines="120" w:before="288" w:after="0" w:line="276" w:lineRule="auto"/>
        <w:ind w:left="-284" w:right="-568"/>
        <w:jc w:val="both"/>
        <w:rPr>
          <w:rFonts w:ascii="Arial" w:hAnsi="Arial" w:cs="Arial"/>
          <w:bCs/>
        </w:rPr>
      </w:pPr>
      <w:r w:rsidRPr="00E478F8">
        <w:rPr>
          <w:rFonts w:ascii="Arial" w:hAnsi="Arial" w:cs="Arial"/>
          <w:bCs/>
        </w:rPr>
        <w:t>Depósitos em Poupança;</w:t>
      </w:r>
    </w:p>
    <w:p w:rsidR="00280B17" w:rsidRPr="00E478F8" w:rsidRDefault="00280B17" w:rsidP="00E478F8">
      <w:pPr>
        <w:numPr>
          <w:ilvl w:val="0"/>
          <w:numId w:val="7"/>
        </w:numPr>
        <w:spacing w:beforeLines="120" w:before="288" w:after="0" w:line="276" w:lineRule="auto"/>
        <w:ind w:left="-284" w:right="-568"/>
        <w:jc w:val="both"/>
        <w:rPr>
          <w:rFonts w:ascii="Arial" w:hAnsi="Arial" w:cs="Arial"/>
          <w:bCs/>
        </w:rPr>
      </w:pPr>
      <w:r w:rsidRPr="00E478F8">
        <w:rPr>
          <w:rFonts w:ascii="Arial" w:hAnsi="Arial" w:cs="Arial"/>
          <w:bCs/>
        </w:rPr>
        <w:t>Aquisição de qualquer ativo final, emitido por Instituições Financeiras com alto risco de crédito;</w:t>
      </w:r>
    </w:p>
    <w:p w:rsidR="00280B17" w:rsidRPr="00E478F8" w:rsidRDefault="00280B17" w:rsidP="00E478F8">
      <w:pPr>
        <w:numPr>
          <w:ilvl w:val="0"/>
          <w:numId w:val="7"/>
        </w:numPr>
        <w:spacing w:beforeLines="120" w:before="288" w:after="0" w:line="276" w:lineRule="auto"/>
        <w:ind w:left="-284" w:right="-568"/>
        <w:jc w:val="both"/>
        <w:rPr>
          <w:rFonts w:ascii="Arial" w:hAnsi="Arial" w:cs="Arial"/>
          <w:bCs/>
        </w:rPr>
      </w:pPr>
      <w:r w:rsidRPr="00E478F8">
        <w:rPr>
          <w:rFonts w:ascii="Arial" w:hAnsi="Arial" w:cs="Arial"/>
          <w:bCs/>
        </w:rPr>
        <w:t xml:space="preserve">Cotas de Fundos de Investimentos em Direitos Creditórios, constituídos </w:t>
      </w:r>
      <w:proofErr w:type="gramStart"/>
      <w:r w:rsidRPr="00E478F8">
        <w:rPr>
          <w:rFonts w:ascii="Arial" w:hAnsi="Arial" w:cs="Arial"/>
          <w:bCs/>
        </w:rPr>
        <w:t>sob forma</w:t>
      </w:r>
      <w:proofErr w:type="gramEnd"/>
      <w:r w:rsidRPr="00E478F8">
        <w:rPr>
          <w:rFonts w:ascii="Arial" w:hAnsi="Arial" w:cs="Arial"/>
          <w:bCs/>
        </w:rPr>
        <w:t xml:space="preserve"> de condomínio aberto ou fechado que não possuam segregação de funções na prestação de serviços, sendo ao menos, obrigatoriamente, duas pessoas jurídicas diferentes, de suas controladoras, de entidades por elas direta ou indiretamente controladas ou quais outras sociedades sob controle comum;</w:t>
      </w:r>
    </w:p>
    <w:p w:rsidR="00280B17" w:rsidRPr="00E478F8" w:rsidRDefault="00280B17" w:rsidP="00E478F8">
      <w:pPr>
        <w:numPr>
          <w:ilvl w:val="0"/>
          <w:numId w:val="7"/>
        </w:numPr>
        <w:spacing w:beforeLines="120" w:before="288" w:after="0" w:line="276" w:lineRule="auto"/>
        <w:ind w:left="-284" w:right="-568"/>
        <w:jc w:val="both"/>
        <w:rPr>
          <w:rFonts w:ascii="Arial" w:hAnsi="Arial" w:cs="Arial"/>
          <w:bCs/>
        </w:rPr>
      </w:pPr>
      <w:r w:rsidRPr="00E478F8">
        <w:rPr>
          <w:rFonts w:ascii="Arial" w:hAnsi="Arial" w:cs="Arial"/>
          <w:bCs/>
        </w:rPr>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rsidR="00280B17" w:rsidRPr="00E478F8" w:rsidRDefault="00280B17" w:rsidP="00E478F8">
      <w:pPr>
        <w:numPr>
          <w:ilvl w:val="0"/>
          <w:numId w:val="7"/>
        </w:numPr>
        <w:spacing w:beforeLines="120" w:before="288" w:after="0" w:line="276" w:lineRule="auto"/>
        <w:ind w:left="-284" w:right="-568"/>
        <w:jc w:val="both"/>
        <w:rPr>
          <w:rFonts w:ascii="Arial" w:hAnsi="Arial" w:cs="Arial"/>
          <w:bCs/>
        </w:rPr>
      </w:pPr>
      <w:r w:rsidRPr="00E478F8">
        <w:rPr>
          <w:rFonts w:ascii="Arial" w:hAnsi="Arial" w:cs="Arial"/>
          <w:bCs/>
        </w:rPr>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rsidR="00280B17" w:rsidRPr="00E478F8" w:rsidRDefault="00280B17" w:rsidP="00E478F8">
      <w:pPr>
        <w:numPr>
          <w:ilvl w:val="0"/>
          <w:numId w:val="7"/>
        </w:numPr>
        <w:spacing w:beforeLines="120" w:before="288" w:after="0" w:line="276" w:lineRule="auto"/>
        <w:ind w:left="-284" w:right="-568"/>
        <w:jc w:val="both"/>
        <w:rPr>
          <w:rFonts w:ascii="Arial" w:hAnsi="Arial" w:cs="Arial"/>
          <w:bCs/>
        </w:rPr>
      </w:pPr>
      <w:r w:rsidRPr="00E478F8">
        <w:rPr>
          <w:rFonts w:ascii="Arial" w:hAnsi="Arial" w:cs="Arial"/>
          <w:bCs/>
        </w:rPr>
        <w:t>Cotas de Fundos de Investimentos Imobiliários (FII) que não prevejam em seu regulamento a constituição de um Comitê de Acompanhamento que se reúna, no mínimo, trimestralmente, e que faça a lavratura de atas, com vistas a monitorar o desempenho dos gestores e das empresas investidas;</w:t>
      </w:r>
    </w:p>
    <w:p w:rsidR="00280B17" w:rsidRPr="00E478F8" w:rsidRDefault="00280B17" w:rsidP="00E478F8">
      <w:pPr>
        <w:numPr>
          <w:ilvl w:val="0"/>
          <w:numId w:val="7"/>
        </w:numPr>
        <w:spacing w:beforeLines="120" w:before="288" w:after="0" w:line="276" w:lineRule="auto"/>
        <w:ind w:left="-284" w:right="-568"/>
        <w:jc w:val="both"/>
        <w:rPr>
          <w:rFonts w:ascii="Arial" w:hAnsi="Arial" w:cs="Arial"/>
          <w:bCs/>
        </w:rPr>
      </w:pPr>
      <w:r w:rsidRPr="00E478F8">
        <w:rPr>
          <w:rFonts w:ascii="Arial" w:hAnsi="Arial" w:cs="Arial"/>
          <w:bCs/>
        </w:rPr>
        <w:lastRenderedPageBreak/>
        <w:t>A classificação e enquadramento das cotas de fundos de investimento não podem ser descaracterizados pelos ativos finais investidos devendo haver correspondência com a política de investimentos do fundo.</w:t>
      </w:r>
    </w:p>
    <w:p w:rsidR="00280B17" w:rsidRPr="00E478F8" w:rsidRDefault="00280B17" w:rsidP="00E478F8">
      <w:pPr>
        <w:spacing w:line="276" w:lineRule="auto"/>
        <w:ind w:left="-284" w:right="-568"/>
        <w:rPr>
          <w:rFonts w:ascii="Arial" w:hAnsi="Arial" w:cs="Arial"/>
          <w:bCs/>
        </w:rPr>
      </w:pPr>
      <w:r w:rsidRPr="00E478F8">
        <w:rPr>
          <w:rFonts w:ascii="Arial" w:hAnsi="Arial" w:cs="Arial"/>
          <w:bCs/>
        </w:rPr>
        <w:br w:type="page"/>
      </w:r>
    </w:p>
    <w:p w:rsidR="00280B17" w:rsidRPr="00F8600B" w:rsidRDefault="00280B17" w:rsidP="00F8600B">
      <w:pPr>
        <w:pStyle w:val="Ttulo1"/>
        <w:spacing w:line="276" w:lineRule="auto"/>
        <w:ind w:left="-284" w:right="-568" w:firstLine="0"/>
        <w:rPr>
          <w:rFonts w:ascii="Arial" w:hAnsi="Arial" w:cs="Arial"/>
          <w:color w:val="auto"/>
          <w:sz w:val="22"/>
          <w:szCs w:val="22"/>
        </w:rPr>
      </w:pPr>
      <w:bookmarkStart w:id="77" w:name="_Toc496794775"/>
      <w:bookmarkStart w:id="78" w:name="_Toc435202746"/>
      <w:bookmarkStart w:id="79" w:name="_Toc490036552"/>
      <w:bookmarkStart w:id="80" w:name="_Toc497213355"/>
      <w:bookmarkEnd w:id="77"/>
      <w:r w:rsidRPr="00F8600B">
        <w:rPr>
          <w:rFonts w:ascii="Arial" w:hAnsi="Arial" w:cs="Arial"/>
          <w:color w:val="auto"/>
          <w:sz w:val="22"/>
          <w:szCs w:val="22"/>
        </w:rPr>
        <w:lastRenderedPageBreak/>
        <w:t>META ATUARIAL</w:t>
      </w:r>
      <w:bookmarkEnd w:id="78"/>
      <w:bookmarkEnd w:id="79"/>
      <w:bookmarkEnd w:id="80"/>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 Portaria MPS nº 87, de 02 de fevereiro de 2005, publicada no DOU de 03/02/2005, que estabelece as Normas Gerais de Atuária dos Regimes Próprios de Previdência Social, determina que a taxa real de juros a ser utilizada nas Avaliações Atuariais será de, no máximo, 6,00% (seis por cento) ao ano.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benefícios se tornará insolvente, comprometendo o pagamento das aposentadorias e pensões em algum momento no futuro.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Considerando a distribuição dos recursos conforme a estratégia alvo utilizada nesta Política de Investimentos, as projeções indicam que a rentabilidade real estimada para o conjunto dos investimentos ao final do ano de 2018 será de 6% (Seis por cento), somado a inflação de INPC, ou seja, superior à taxa de juros máxima admitida pela norma legal.</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Ainda assim, o INSTITUTO DE PREVIDÊNCIA SOCIAL DOS SERVIDORES MUNICIPAIS DE NOVA ALVORADA DO SUL avaliará a execução de estudos que evidenciem, no longo prazo, qual a real situação financeiro-atuarial do plano de benefícios previdenciários.</w:t>
      </w:r>
    </w:p>
    <w:p w:rsidR="00280B17" w:rsidRPr="00E478F8" w:rsidRDefault="00280B17" w:rsidP="00E478F8">
      <w:pPr>
        <w:spacing w:line="276" w:lineRule="auto"/>
        <w:ind w:left="-284" w:right="-568"/>
        <w:rPr>
          <w:rFonts w:ascii="Arial" w:hAnsi="Arial" w:cs="Arial"/>
          <w:bCs/>
        </w:rPr>
      </w:pPr>
      <w:r w:rsidRPr="00E478F8">
        <w:rPr>
          <w:rFonts w:ascii="Arial" w:hAnsi="Arial" w:cs="Arial"/>
          <w:bCs/>
        </w:rPr>
        <w:br w:type="page"/>
      </w:r>
    </w:p>
    <w:p w:rsidR="00280B17" w:rsidRPr="00F8600B" w:rsidRDefault="00280B17" w:rsidP="00F8600B">
      <w:pPr>
        <w:pStyle w:val="Ttulo1"/>
        <w:spacing w:line="276" w:lineRule="auto"/>
        <w:ind w:left="-284" w:right="-568" w:firstLine="0"/>
        <w:rPr>
          <w:rFonts w:ascii="Arial" w:hAnsi="Arial" w:cs="Arial"/>
          <w:color w:val="auto"/>
          <w:sz w:val="22"/>
          <w:szCs w:val="22"/>
        </w:rPr>
      </w:pPr>
      <w:bookmarkStart w:id="81" w:name="_Toc435202747"/>
      <w:bookmarkStart w:id="82" w:name="_Toc490036553"/>
      <w:bookmarkStart w:id="83" w:name="_Toc497213356"/>
      <w:r w:rsidRPr="00F8600B">
        <w:rPr>
          <w:rFonts w:ascii="Arial" w:hAnsi="Arial" w:cs="Arial"/>
          <w:color w:val="auto"/>
          <w:sz w:val="22"/>
          <w:szCs w:val="22"/>
        </w:rPr>
        <w:lastRenderedPageBreak/>
        <w:t>ESTRUTURA DE GESTÃO DOS ATIVOS</w:t>
      </w:r>
      <w:bookmarkEnd w:id="81"/>
      <w:bookmarkEnd w:id="82"/>
      <w:bookmarkEnd w:id="83"/>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De acordo com as hipóteses previstas na Resolução CMN nº 3.922/2010, a aplicação dos ativos será realizada por gestão própria, terceirizada ou mista.</w:t>
      </w:r>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Para a vigência desta Política de Investimentos, a gestão das aplicações dos recursos do INSTITUTO DE PREVIDÊNCIA SOCIAL DOS SERVIDORES MUNICIPAIS DE NOVA ALVORADA DO SUL será própria.</w:t>
      </w:r>
    </w:p>
    <w:p w:rsidR="00280B17" w:rsidRPr="00E478F8" w:rsidRDefault="00280B17" w:rsidP="00E478F8">
      <w:pPr>
        <w:pStyle w:val="Ttulo2"/>
      </w:pPr>
      <w:bookmarkStart w:id="84" w:name="_Toc435202748"/>
      <w:bookmarkStart w:id="85" w:name="_Toc490036554"/>
      <w:bookmarkStart w:id="86" w:name="_Toc497213357"/>
      <w:r w:rsidRPr="00E478F8">
        <w:t>GESTÃO PRÓPRIA</w:t>
      </w:r>
      <w:bookmarkEnd w:id="84"/>
      <w:bookmarkEnd w:id="85"/>
      <w:bookmarkEnd w:id="86"/>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participativo do processo de análise, com o objetivo de gerenciar a aplicação de recursos conjuntamente com a Diretoria Executiva, escolhendo os ativos, delimitando os níveis de riscos, estabelecendo os prazos para as aplicações, sendo obrigatório o Credenciamento de administradores e gestores de fundos de investimentos junto ao RPPS.</w:t>
      </w:r>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O RPPS tem ainda a prerrogativa da contratação de empresa de consultoria, de acordo com os critérios estabelecidos na Resolução CMN nº 3.922/2010, para prestar assessoramento às aplicações de recursos.</w:t>
      </w:r>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t xml:space="preserve">Fica </w:t>
      </w:r>
      <w:proofErr w:type="gramStart"/>
      <w:r w:rsidRPr="00E478F8">
        <w:rPr>
          <w:rFonts w:ascii="Arial" w:hAnsi="Arial" w:cs="Arial"/>
          <w:bCs/>
        </w:rPr>
        <w:t>condicionado</w:t>
      </w:r>
      <w:proofErr w:type="gramEnd"/>
      <w:r w:rsidRPr="00E478F8">
        <w:rPr>
          <w:rFonts w:ascii="Arial" w:hAnsi="Arial" w:cs="Arial"/>
          <w:bCs/>
        </w:rPr>
        <w:t xml:space="preserve"> a contratação de empresa de consultoria a não receber qualquer remuneração, benefício ou vantagem que potencialmente prejudiquem a independência na prestação de serviço, bem como não figure como emissor de ativos ou atue na origem e estruturação de produtos de investimentos.</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87" w:name="_Toc435189691"/>
      <w:bookmarkStart w:id="88" w:name="_Toc435202749"/>
      <w:bookmarkStart w:id="89" w:name="_Toc490036555"/>
      <w:bookmarkStart w:id="90" w:name="_Toc497213358"/>
      <w:r w:rsidRPr="00E478F8">
        <w:t>ÓRGÃOS DE E</w:t>
      </w:r>
      <w:bookmarkEnd w:id="87"/>
      <w:r w:rsidRPr="00E478F8">
        <w:t>XECUÇÃO</w:t>
      </w:r>
      <w:bookmarkEnd w:id="88"/>
      <w:bookmarkEnd w:id="89"/>
      <w:bookmarkEnd w:id="90"/>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Compete ao Comitê de Investimentos a elaboração da Política de Investimento, que deve submetê-la para aprovação ao Conselho Curador, órgão superior competente para definições estratégicas do RPPS. Essa estrutura garante a demonstração da segregação de funções adotadas pelos órgãos de execução, estando em linha com as práticas de mercado para uma boa governança corporativa.</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Esta política de investimentos estabelece as diretrizes a serem tomadas pelo comitê de investimentos na gestão dos recursos, visando atingir e obter o equilíbrio financeiro e atuarial com a solvabilidade do plano.</w:t>
      </w:r>
    </w:p>
    <w:p w:rsidR="00280B17" w:rsidRPr="00E478F8" w:rsidRDefault="00280B17" w:rsidP="00E478F8">
      <w:pPr>
        <w:spacing w:line="276" w:lineRule="auto"/>
        <w:ind w:left="-284" w:right="-568"/>
        <w:rPr>
          <w:rFonts w:ascii="Arial" w:hAnsi="Arial" w:cs="Arial"/>
          <w:bCs/>
        </w:rPr>
      </w:pPr>
      <w:r w:rsidRPr="00E478F8">
        <w:rPr>
          <w:rFonts w:ascii="Arial" w:hAnsi="Arial" w:cs="Arial"/>
          <w:bCs/>
        </w:rPr>
        <w:br w:type="page"/>
      </w:r>
    </w:p>
    <w:p w:rsidR="00280B17" w:rsidRPr="00F8600B" w:rsidRDefault="00280B17" w:rsidP="00F8600B">
      <w:pPr>
        <w:pStyle w:val="Ttulo1"/>
        <w:spacing w:line="276" w:lineRule="auto"/>
        <w:ind w:left="-284" w:right="-568" w:firstLine="0"/>
        <w:rPr>
          <w:rFonts w:ascii="Arial" w:hAnsi="Arial" w:cs="Arial"/>
          <w:color w:val="auto"/>
          <w:sz w:val="22"/>
          <w:szCs w:val="22"/>
        </w:rPr>
      </w:pPr>
      <w:bookmarkStart w:id="91" w:name="_Toc435202750"/>
      <w:bookmarkStart w:id="92" w:name="_Toc490036556"/>
      <w:bookmarkStart w:id="93" w:name="_Toc497213359"/>
      <w:r w:rsidRPr="00F8600B">
        <w:rPr>
          <w:rFonts w:ascii="Arial" w:hAnsi="Arial" w:cs="Arial"/>
          <w:color w:val="auto"/>
          <w:sz w:val="22"/>
          <w:szCs w:val="22"/>
        </w:rPr>
        <w:lastRenderedPageBreak/>
        <w:t>CONTROLE DE RISCO</w:t>
      </w:r>
      <w:bookmarkEnd w:id="91"/>
      <w:bookmarkEnd w:id="92"/>
      <w:bookmarkEnd w:id="93"/>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É relevante mencionar que qualquer aplicação financeira estará sujeita à incidência de fatores de risco que podem afetar adversamente o seu retorno, entre eles:</w:t>
      </w:r>
    </w:p>
    <w:p w:rsidR="00280B17" w:rsidRPr="00E478F8" w:rsidRDefault="00280B17" w:rsidP="00E478F8">
      <w:pPr>
        <w:numPr>
          <w:ilvl w:val="0"/>
          <w:numId w:val="8"/>
        </w:numPr>
        <w:spacing w:beforeLines="120" w:before="288" w:after="0" w:line="276" w:lineRule="auto"/>
        <w:ind w:left="-284" w:right="-568"/>
        <w:jc w:val="both"/>
        <w:rPr>
          <w:rFonts w:ascii="Arial" w:hAnsi="Arial" w:cs="Arial"/>
          <w:bCs/>
        </w:rPr>
      </w:pPr>
      <w:r w:rsidRPr="00E478F8">
        <w:rPr>
          <w:rFonts w:ascii="Arial" w:hAnsi="Arial" w:cs="Arial"/>
          <w:bCs/>
        </w:rPr>
        <w:t xml:space="preserve">Risco de Mercado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w:t>
      </w:r>
      <w:proofErr w:type="gramStart"/>
      <w:r w:rsidRPr="00E478F8">
        <w:rPr>
          <w:rFonts w:ascii="Arial" w:hAnsi="Arial" w:cs="Arial"/>
          <w:bCs/>
        </w:rPr>
        <w:t>taxa</w:t>
      </w:r>
      <w:proofErr w:type="gramEnd"/>
      <w:r w:rsidRPr="00E478F8">
        <w:rPr>
          <w:rFonts w:ascii="Arial" w:hAnsi="Arial" w:cs="Arial"/>
          <w:bCs/>
        </w:rPr>
        <w:t xml:space="preserve"> de juros, preços de ações e outros índices. É ligado às oscilações do mercado financeiro.</w:t>
      </w:r>
    </w:p>
    <w:p w:rsidR="00280B17" w:rsidRPr="00E478F8" w:rsidRDefault="00280B17" w:rsidP="00E478F8">
      <w:pPr>
        <w:numPr>
          <w:ilvl w:val="0"/>
          <w:numId w:val="8"/>
        </w:numPr>
        <w:spacing w:beforeLines="120" w:before="288" w:after="0" w:line="276" w:lineRule="auto"/>
        <w:ind w:left="-284" w:right="-568"/>
        <w:jc w:val="both"/>
        <w:rPr>
          <w:rFonts w:ascii="Arial" w:hAnsi="Arial" w:cs="Arial"/>
          <w:bCs/>
        </w:rPr>
      </w:pPr>
      <w:r w:rsidRPr="00E478F8">
        <w:rPr>
          <w:rFonts w:ascii="Arial" w:hAnsi="Arial" w:cs="Arial"/>
          <w:bCs/>
        </w:rPr>
        <w:t>Risco de Crédito - também conhecido como risco institucional ou de contraparte, é aquele em que há a possibilidade de o retorno de investimento não ser honrado pela instituição que emitiu determinado título, na data e nas condições negociadas e contratadas;</w:t>
      </w:r>
    </w:p>
    <w:p w:rsidR="00280B17" w:rsidRDefault="00280B17" w:rsidP="00E478F8">
      <w:pPr>
        <w:numPr>
          <w:ilvl w:val="0"/>
          <w:numId w:val="8"/>
        </w:numPr>
        <w:spacing w:beforeLines="120" w:before="288" w:line="276" w:lineRule="auto"/>
        <w:ind w:left="-284" w:right="-568"/>
        <w:jc w:val="both"/>
        <w:rPr>
          <w:rFonts w:ascii="Arial" w:hAnsi="Arial" w:cs="Arial"/>
          <w:bCs/>
        </w:rPr>
      </w:pPr>
      <w:r w:rsidRPr="00E478F8">
        <w:rPr>
          <w:rFonts w:ascii="Arial" w:hAnsi="Arial" w:cs="Arial"/>
          <w:bCs/>
        </w:rPr>
        <w:t>Risco de Liquidez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F8600B" w:rsidRPr="00E478F8" w:rsidRDefault="00F8600B" w:rsidP="00F8600B">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94" w:name="_Toc435189693"/>
      <w:bookmarkStart w:id="95" w:name="_Toc435202751"/>
      <w:bookmarkStart w:id="96" w:name="_Toc490036557"/>
      <w:bookmarkStart w:id="97" w:name="_Toc497213360"/>
      <w:r w:rsidRPr="00E478F8">
        <w:t>C</w:t>
      </w:r>
      <w:bookmarkEnd w:id="94"/>
      <w:r w:rsidRPr="00E478F8">
        <w:t>ONTROLE DO RISCO DE MERCADO</w:t>
      </w:r>
      <w:bookmarkEnd w:id="95"/>
      <w:bookmarkEnd w:id="96"/>
      <w:bookmarkEnd w:id="97"/>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 xml:space="preserve">O RPPS adota o </w:t>
      </w:r>
      <w:proofErr w:type="spellStart"/>
      <w:proofErr w:type="gramStart"/>
      <w:r w:rsidRPr="00E478F8">
        <w:rPr>
          <w:rFonts w:ascii="Arial" w:hAnsi="Arial" w:cs="Arial"/>
          <w:bCs/>
        </w:rPr>
        <w:t>VaR</w:t>
      </w:r>
      <w:proofErr w:type="spellEnd"/>
      <w:proofErr w:type="gramEnd"/>
      <w:r w:rsidRPr="00E478F8">
        <w:rPr>
          <w:rFonts w:ascii="Arial" w:hAnsi="Arial" w:cs="Arial"/>
          <w:bCs/>
        </w:rPr>
        <w:t xml:space="preserve"> - </w:t>
      </w:r>
      <w:proofErr w:type="spellStart"/>
      <w:r w:rsidRPr="00E478F8">
        <w:rPr>
          <w:rFonts w:ascii="Arial" w:hAnsi="Arial" w:cs="Arial"/>
          <w:bCs/>
        </w:rPr>
        <w:t>Value-at-Risk</w:t>
      </w:r>
      <w:proofErr w:type="spellEnd"/>
      <w:r w:rsidRPr="00E478F8">
        <w:rPr>
          <w:rFonts w:ascii="Arial" w:hAnsi="Arial" w:cs="Arial"/>
          <w:bCs/>
        </w:rPr>
        <w:t xml:space="preserve"> para controle do risco de mercado, utilizando os seguintes parâmetros para o cálculo do mesmo: </w:t>
      </w:r>
    </w:p>
    <w:p w:rsidR="00280B17" w:rsidRPr="00E478F8" w:rsidRDefault="00280B17" w:rsidP="00E478F8">
      <w:pPr>
        <w:numPr>
          <w:ilvl w:val="0"/>
          <w:numId w:val="9"/>
        </w:numPr>
        <w:spacing w:beforeLines="120" w:before="288" w:after="0" w:line="276" w:lineRule="auto"/>
        <w:ind w:left="-284" w:right="-568"/>
        <w:jc w:val="both"/>
        <w:rPr>
          <w:rFonts w:ascii="Arial" w:hAnsi="Arial" w:cs="Arial"/>
          <w:bCs/>
        </w:rPr>
      </w:pPr>
      <w:r w:rsidRPr="00E478F8">
        <w:rPr>
          <w:rFonts w:ascii="Arial" w:hAnsi="Arial" w:cs="Arial"/>
          <w:bCs/>
        </w:rPr>
        <w:t>Modelo paramétrico;</w:t>
      </w:r>
    </w:p>
    <w:p w:rsidR="00280B17" w:rsidRPr="00E478F8" w:rsidRDefault="00280B17" w:rsidP="00E478F8">
      <w:pPr>
        <w:numPr>
          <w:ilvl w:val="0"/>
          <w:numId w:val="9"/>
        </w:numPr>
        <w:spacing w:beforeLines="120" w:before="288" w:after="0" w:line="276" w:lineRule="auto"/>
        <w:ind w:left="-284" w:right="-568"/>
        <w:jc w:val="both"/>
        <w:rPr>
          <w:rFonts w:ascii="Arial" w:hAnsi="Arial" w:cs="Arial"/>
          <w:bCs/>
        </w:rPr>
      </w:pPr>
      <w:r w:rsidRPr="00E478F8">
        <w:rPr>
          <w:rFonts w:ascii="Arial" w:hAnsi="Arial" w:cs="Arial"/>
          <w:bCs/>
        </w:rPr>
        <w:t>Intervalo de confiança de 95% (noventa e cinco por cento);</w:t>
      </w:r>
    </w:p>
    <w:p w:rsidR="00280B17" w:rsidRPr="00E478F8" w:rsidRDefault="00280B17" w:rsidP="00E478F8">
      <w:pPr>
        <w:numPr>
          <w:ilvl w:val="0"/>
          <w:numId w:val="9"/>
        </w:numPr>
        <w:spacing w:beforeLines="120" w:before="288" w:after="0" w:line="276" w:lineRule="auto"/>
        <w:ind w:left="-284" w:right="-568"/>
        <w:jc w:val="both"/>
        <w:rPr>
          <w:rFonts w:ascii="Arial" w:hAnsi="Arial" w:cs="Arial"/>
          <w:bCs/>
        </w:rPr>
      </w:pPr>
      <w:r w:rsidRPr="00E478F8">
        <w:rPr>
          <w:rFonts w:ascii="Arial" w:hAnsi="Arial" w:cs="Arial"/>
          <w:bCs/>
        </w:rPr>
        <w:t>Horizonte temporal de 21 dias úteis.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rsidR="00280B17" w:rsidRPr="00E478F8" w:rsidRDefault="00280B17" w:rsidP="00E478F8">
      <w:pPr>
        <w:numPr>
          <w:ilvl w:val="0"/>
          <w:numId w:val="9"/>
        </w:numPr>
        <w:spacing w:beforeLines="120" w:before="288" w:after="0" w:line="276" w:lineRule="auto"/>
        <w:ind w:left="-284" w:right="-568"/>
        <w:jc w:val="both"/>
        <w:rPr>
          <w:rFonts w:ascii="Arial" w:hAnsi="Arial" w:cs="Arial"/>
          <w:bCs/>
        </w:rPr>
      </w:pPr>
      <w:r w:rsidRPr="00E478F8">
        <w:rPr>
          <w:rFonts w:ascii="Arial" w:hAnsi="Arial" w:cs="Arial"/>
          <w:bCs/>
        </w:rPr>
        <w:t>Segmento de Renda Fixa: 2,5% (dois e meio por cento) do valor alocado neste segmento.</w:t>
      </w:r>
    </w:p>
    <w:p w:rsidR="00280B17" w:rsidRPr="00E478F8" w:rsidRDefault="00280B17" w:rsidP="00E478F8">
      <w:pPr>
        <w:numPr>
          <w:ilvl w:val="0"/>
          <w:numId w:val="9"/>
        </w:numPr>
        <w:spacing w:beforeLines="120" w:before="288" w:after="0" w:line="276" w:lineRule="auto"/>
        <w:ind w:left="-284" w:right="-568"/>
        <w:jc w:val="both"/>
        <w:rPr>
          <w:rFonts w:ascii="Arial" w:hAnsi="Arial" w:cs="Arial"/>
          <w:bCs/>
        </w:rPr>
      </w:pPr>
      <w:r w:rsidRPr="00E478F8">
        <w:rPr>
          <w:rFonts w:ascii="Arial" w:hAnsi="Arial" w:cs="Arial"/>
          <w:bCs/>
        </w:rPr>
        <w:lastRenderedPageBreak/>
        <w:t>Segmento de Renda Variável: 8% (oito por cento) do valor alocado neste segmento.</w:t>
      </w:r>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t>Como instrumento adicional de controle, o RPPS monitora a rentabilidade do fundo em janelas temporais (mês, ano, três meses, seis meses, doze meses e vinte e quatro meses), verificando o alinhamento com o “benchmark” estabelecido na política de investimentos do fundo. Desvios significativos deverão ser avaliados pelos membros do Comitê de Investimentos do RPPS, que decidirá pela manutenção, ou não, do investimento.</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98" w:name="_Toc435202752"/>
      <w:bookmarkStart w:id="99" w:name="_Toc490036558"/>
      <w:bookmarkStart w:id="100" w:name="_Toc497213361"/>
      <w:r w:rsidRPr="00E478F8">
        <w:t>CONTROLE DO RISCO DE CRÉDITO</w:t>
      </w:r>
      <w:bookmarkEnd w:id="98"/>
      <w:bookmarkEnd w:id="99"/>
      <w:bookmarkEnd w:id="100"/>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 xml:space="preserve">Na hipótese de aplicação de recursos financeiros do RPPS, em fundos de investimento que possuem em sua carteira de investimentos ativos de crédito, </w:t>
      </w:r>
      <w:proofErr w:type="gramStart"/>
      <w:r w:rsidRPr="00E478F8">
        <w:rPr>
          <w:rFonts w:ascii="Arial" w:hAnsi="Arial" w:cs="Arial"/>
          <w:bCs/>
        </w:rPr>
        <w:t>subordinam-se</w:t>
      </w:r>
      <w:proofErr w:type="gramEnd"/>
      <w:r w:rsidRPr="00E478F8">
        <w:rPr>
          <w:rFonts w:ascii="Arial" w:hAnsi="Arial" w:cs="Arial"/>
          <w:bCs/>
        </w:rPr>
        <w:t xml:space="preserve"> que estes sejam emitidas por companhias abertas devidamente operacionais e registrada; e que sejam de baixo risco em classificação efetuada por agência classificadora de risco, o que estiverem de acordo com a tabela abaixo:</w:t>
      </w:r>
    </w:p>
    <w:p w:rsidR="00280B17" w:rsidRPr="00E478F8" w:rsidRDefault="00280B17" w:rsidP="00E478F8">
      <w:pPr>
        <w:spacing w:beforeLines="120" w:before="288" w:line="276" w:lineRule="auto"/>
        <w:ind w:left="-284" w:right="-568"/>
        <w:jc w:val="center"/>
        <w:rPr>
          <w:rFonts w:ascii="Arial" w:hAnsi="Arial" w:cs="Arial"/>
          <w:bCs/>
        </w:rPr>
      </w:pPr>
      <w:r w:rsidRPr="00E478F8">
        <w:rPr>
          <w:rFonts w:ascii="Arial" w:hAnsi="Arial" w:cs="Arial"/>
          <w:bCs/>
          <w:noProof/>
          <w:lang w:eastAsia="pt-BR"/>
        </w:rPr>
        <w:drawing>
          <wp:inline distT="0" distB="0" distL="0" distR="0" wp14:anchorId="588E2E12" wp14:editId="618A5DE0">
            <wp:extent cx="4200030" cy="1081377"/>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159" cy="1088362"/>
                    </a:xfrm>
                    <a:prstGeom prst="rect">
                      <a:avLst/>
                    </a:prstGeom>
                    <a:noFill/>
                    <a:ln>
                      <a:noFill/>
                    </a:ln>
                  </pic:spPr>
                </pic:pic>
              </a:graphicData>
            </a:graphic>
          </wp:inline>
        </w:drawing>
      </w:r>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t xml:space="preserve">As agências classificadoras de risco supracitadas estão devidamente registradas na CVM e autorizadas a operar no Brasil e </w:t>
      </w:r>
      <w:proofErr w:type="gramStart"/>
      <w:r w:rsidRPr="00E478F8">
        <w:rPr>
          <w:rFonts w:ascii="Arial" w:hAnsi="Arial" w:cs="Arial"/>
          <w:bCs/>
        </w:rPr>
        <w:t>utilizam</w:t>
      </w:r>
      <w:proofErr w:type="gramEnd"/>
      <w:r w:rsidRPr="00E478F8">
        <w:rPr>
          <w:rFonts w:ascii="Arial" w:hAnsi="Arial" w:cs="Arial"/>
          <w:bCs/>
        </w:rPr>
        <w:t xml:space="preserve"> o sistema de “rating” para classificar o nível de risco de uma instituição, fundo de investimentos e dos ativos integrantes de sua carteira.</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101" w:name="_Toc435189695"/>
      <w:bookmarkStart w:id="102" w:name="_Toc435202753"/>
      <w:bookmarkStart w:id="103" w:name="_Toc490036559"/>
      <w:bookmarkStart w:id="104" w:name="_Toc497213362"/>
      <w:r w:rsidRPr="00E478F8">
        <w:t xml:space="preserve">CONTROLE DO RISCO DE </w:t>
      </w:r>
      <w:bookmarkEnd w:id="101"/>
      <w:r w:rsidRPr="00E478F8">
        <w:t>LIQUIDEZ</w:t>
      </w:r>
      <w:bookmarkEnd w:id="102"/>
      <w:bookmarkEnd w:id="103"/>
      <w:bookmarkEnd w:id="104"/>
      <w:r w:rsidRPr="00E478F8">
        <w:t xml:space="preserve"> </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Nas aplicações em fundos de investimentos constituídos sob a forma de condomínio fechado, e nas aplicações cuja soma do prazo de carência (se houver) acrescido ao prazo de conversão de cotas ultrapassarem em 365 dias, a aprovação do investimento deverá ser precedida de uma análise que evidencie a capacidade do RPPS em arcar com o fluxo de despesas necessárias ao cumprimento de suas obrigações atuariais, até a data da disponibilização dos recursos investidos.</w:t>
      </w:r>
    </w:p>
    <w:p w:rsidR="00280B17" w:rsidRPr="00E478F8" w:rsidRDefault="00280B17" w:rsidP="00E478F8">
      <w:pPr>
        <w:spacing w:line="276" w:lineRule="auto"/>
        <w:ind w:left="-284" w:right="-568"/>
        <w:rPr>
          <w:rFonts w:ascii="Arial" w:hAnsi="Arial" w:cs="Arial"/>
          <w:bCs/>
        </w:rPr>
      </w:pPr>
      <w:r w:rsidRPr="00E478F8">
        <w:rPr>
          <w:rFonts w:ascii="Arial" w:hAnsi="Arial" w:cs="Arial"/>
          <w:bCs/>
        </w:rPr>
        <w:br w:type="page"/>
      </w:r>
    </w:p>
    <w:p w:rsidR="00280B17" w:rsidRPr="00F8600B" w:rsidRDefault="00280B17" w:rsidP="00E478F8">
      <w:pPr>
        <w:pStyle w:val="Ttulo1"/>
        <w:spacing w:line="276" w:lineRule="auto"/>
        <w:ind w:left="-284" w:right="-568"/>
        <w:rPr>
          <w:rFonts w:ascii="Arial" w:hAnsi="Arial" w:cs="Arial"/>
          <w:color w:val="auto"/>
          <w:sz w:val="22"/>
          <w:szCs w:val="22"/>
        </w:rPr>
      </w:pPr>
      <w:bookmarkStart w:id="105" w:name="_Toc435189696"/>
      <w:bookmarkStart w:id="106" w:name="_Toc435202754"/>
      <w:bookmarkStart w:id="107" w:name="_Toc490036560"/>
      <w:bookmarkStart w:id="108" w:name="_Toc497213363"/>
      <w:r w:rsidRPr="00F8600B">
        <w:rPr>
          <w:rFonts w:ascii="Arial" w:hAnsi="Arial" w:cs="Arial"/>
          <w:color w:val="auto"/>
          <w:sz w:val="22"/>
          <w:szCs w:val="22"/>
        </w:rPr>
        <w:lastRenderedPageBreak/>
        <w:t>P</w:t>
      </w:r>
      <w:bookmarkEnd w:id="105"/>
      <w:r w:rsidRPr="00F8600B">
        <w:rPr>
          <w:rFonts w:ascii="Arial" w:hAnsi="Arial" w:cs="Arial"/>
          <w:color w:val="auto"/>
          <w:sz w:val="22"/>
          <w:szCs w:val="22"/>
        </w:rPr>
        <w:t>OLÍTICA DE TRANSPARÊNCIA</w:t>
      </w:r>
      <w:bookmarkEnd w:id="106"/>
      <w:bookmarkEnd w:id="107"/>
      <w:bookmarkEnd w:id="108"/>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As informações contidas na Política de Investimentos e em suas revisões deverão ser disponibilizadas aos interessados, no prazo de trinta dias, contados de sua aprovação, observados os critérios estabelecidos pelo Ministério da Fazenda, Secretária de Previdência Social. À vista da exigência contida no art. 4º, incisos I, II, III, IV e V,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rsidR="00280B17" w:rsidRPr="00E478F8" w:rsidRDefault="00280B17" w:rsidP="00E478F8">
      <w:pPr>
        <w:spacing w:line="276" w:lineRule="auto"/>
        <w:ind w:left="-284" w:right="-568"/>
        <w:rPr>
          <w:rFonts w:ascii="Arial" w:hAnsi="Arial" w:cs="Arial"/>
          <w:bCs/>
        </w:rPr>
      </w:pPr>
      <w:r w:rsidRPr="00E478F8">
        <w:rPr>
          <w:rFonts w:ascii="Arial" w:hAnsi="Arial" w:cs="Arial"/>
          <w:bCs/>
        </w:rPr>
        <w:br w:type="page"/>
      </w:r>
    </w:p>
    <w:p w:rsidR="00280B17" w:rsidRPr="00F8600B" w:rsidRDefault="00280B17" w:rsidP="00F8600B">
      <w:pPr>
        <w:pStyle w:val="Ttulo1"/>
        <w:spacing w:line="276" w:lineRule="auto"/>
        <w:ind w:left="-284" w:right="-568" w:firstLine="0"/>
        <w:rPr>
          <w:rFonts w:ascii="Arial" w:hAnsi="Arial" w:cs="Arial"/>
          <w:color w:val="auto"/>
          <w:sz w:val="22"/>
          <w:szCs w:val="22"/>
        </w:rPr>
      </w:pPr>
      <w:bookmarkStart w:id="109" w:name="_Toc435189697"/>
      <w:bookmarkStart w:id="110" w:name="_Toc435202755"/>
      <w:bookmarkStart w:id="111" w:name="_Toc490036561"/>
      <w:bookmarkStart w:id="112" w:name="_Toc497213364"/>
      <w:r w:rsidRPr="00F8600B">
        <w:rPr>
          <w:rFonts w:ascii="Arial" w:hAnsi="Arial" w:cs="Arial"/>
          <w:color w:val="auto"/>
          <w:sz w:val="22"/>
          <w:szCs w:val="22"/>
        </w:rPr>
        <w:lastRenderedPageBreak/>
        <w:t>CRITÉRIOS PARA CREDENCIAMENTO</w:t>
      </w:r>
      <w:bookmarkEnd w:id="109"/>
      <w:bookmarkEnd w:id="110"/>
      <w:bookmarkEnd w:id="111"/>
      <w:bookmarkEnd w:id="112"/>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Seguindo a Portaria MPS nº 519, de 24 de agosto de 2011, na gestão própria, antes da realização de qualquer operação, o RPPS, na figura de seu Comitê de Investimentos, deverá assegurar que as instituições financeiras escolhidas para receber as aplicações tenham sido objeto de prévio credenciamento.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Para tal credenciamento, deverão ser observados, e formalmente atestados pelo representante legal do RPPS e submetido à aprovação do Comitê de Investimentos, no mínimo, quesitos como:</w:t>
      </w:r>
    </w:p>
    <w:p w:rsidR="00280B17" w:rsidRPr="00E478F8" w:rsidRDefault="00280B17" w:rsidP="00E478F8">
      <w:pPr>
        <w:numPr>
          <w:ilvl w:val="0"/>
          <w:numId w:val="15"/>
        </w:numPr>
        <w:spacing w:beforeLines="120" w:before="288" w:after="0" w:line="276" w:lineRule="auto"/>
        <w:ind w:left="-284" w:right="-568"/>
        <w:jc w:val="both"/>
        <w:rPr>
          <w:rFonts w:ascii="Arial" w:hAnsi="Arial" w:cs="Arial"/>
          <w:bCs/>
        </w:rPr>
      </w:pPr>
      <w:proofErr w:type="gramStart"/>
      <w:r w:rsidRPr="00E478F8">
        <w:rPr>
          <w:rFonts w:ascii="Arial" w:hAnsi="Arial" w:cs="Arial"/>
          <w:bCs/>
        </w:rPr>
        <w:t>atos</w:t>
      </w:r>
      <w:proofErr w:type="gramEnd"/>
      <w:r w:rsidRPr="00E478F8">
        <w:rPr>
          <w:rFonts w:ascii="Arial" w:hAnsi="Arial" w:cs="Arial"/>
          <w:bCs/>
        </w:rPr>
        <w:t xml:space="preserve"> de registro ou autorização para funcionamento expedido pelo Banco Central do Brasil ou Comissão de Valores Mobiliários ou órgão competente;</w:t>
      </w:r>
    </w:p>
    <w:p w:rsidR="00280B17" w:rsidRPr="00E478F8" w:rsidRDefault="00280B17" w:rsidP="00E478F8">
      <w:pPr>
        <w:numPr>
          <w:ilvl w:val="0"/>
          <w:numId w:val="15"/>
        </w:numPr>
        <w:spacing w:beforeLines="120" w:before="288" w:after="0" w:line="276" w:lineRule="auto"/>
        <w:ind w:left="-284" w:right="-568"/>
        <w:jc w:val="both"/>
        <w:rPr>
          <w:rFonts w:ascii="Arial" w:hAnsi="Arial" w:cs="Arial"/>
          <w:bCs/>
        </w:rPr>
      </w:pPr>
      <w:proofErr w:type="gramStart"/>
      <w:r w:rsidRPr="00E478F8">
        <w:rPr>
          <w:rFonts w:ascii="Arial" w:hAnsi="Arial" w:cs="Arial"/>
          <w:bCs/>
        </w:rPr>
        <w:t>observação</w:t>
      </w:r>
      <w:proofErr w:type="gramEnd"/>
      <w:r w:rsidRPr="00E478F8">
        <w:rPr>
          <w:rFonts w:ascii="Arial" w:hAnsi="Arial" w:cs="Arial"/>
          <w:bCs/>
        </w:rPr>
        <w:t xml:space="preserve">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280B17" w:rsidRPr="00E478F8" w:rsidRDefault="00280B17" w:rsidP="00E478F8">
      <w:pPr>
        <w:numPr>
          <w:ilvl w:val="0"/>
          <w:numId w:val="15"/>
        </w:numPr>
        <w:spacing w:beforeLines="120" w:before="288" w:after="0" w:line="276" w:lineRule="auto"/>
        <w:ind w:left="-284" w:right="-568"/>
        <w:jc w:val="both"/>
        <w:rPr>
          <w:rFonts w:ascii="Arial" w:hAnsi="Arial" w:cs="Arial"/>
          <w:bCs/>
        </w:rPr>
      </w:pPr>
      <w:proofErr w:type="gramStart"/>
      <w:r w:rsidRPr="00E478F8">
        <w:rPr>
          <w:rFonts w:ascii="Arial" w:hAnsi="Arial" w:cs="Arial"/>
          <w:bCs/>
        </w:rPr>
        <w:t>regularidade</w:t>
      </w:r>
      <w:proofErr w:type="gramEnd"/>
      <w:r w:rsidRPr="00E478F8">
        <w:rPr>
          <w:rFonts w:ascii="Arial" w:hAnsi="Arial" w:cs="Arial"/>
          <w:bCs/>
        </w:rPr>
        <w:t xml:space="preserve"> fiscal e previdenciária.</w:t>
      </w:r>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t>Quando se tratar de fundos de investimento, o credenciamento previsto recairá sobre a figura do gestor e do administrador do fundo.</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F8600B">
      <w:pPr>
        <w:pStyle w:val="Ttulo2"/>
        <w:numPr>
          <w:ilvl w:val="0"/>
          <w:numId w:val="28"/>
        </w:numPr>
      </w:pPr>
      <w:r w:rsidRPr="00E478F8">
        <w:t>PROCESSO DE SELEÇÃO E AVALIAÇÃO DE GESTORES/ADMINISTRADORES</w:t>
      </w:r>
    </w:p>
    <w:p w:rsidR="00280B17" w:rsidRPr="00E478F8" w:rsidRDefault="00280B17" w:rsidP="00E478F8">
      <w:pPr>
        <w:spacing w:beforeLines="120" w:before="288" w:line="276" w:lineRule="auto"/>
        <w:ind w:left="-284" w:right="-568"/>
        <w:jc w:val="both"/>
        <w:rPr>
          <w:rFonts w:ascii="Arial" w:hAnsi="Arial" w:cs="Arial"/>
          <w:bCs/>
        </w:rPr>
      </w:pPr>
      <w:r w:rsidRPr="00E478F8">
        <w:rPr>
          <w:rFonts w:ascii="Arial" w:hAnsi="Arial" w:cs="Arial"/>
          <w:bCs/>
        </w:rPr>
        <w:t>Nos processos de seleção dos Gestores/Administradores, devem ser considerados os aspectos qualitativos e quantitativos, tendo como parâmetro de análise no mínimo:</w:t>
      </w:r>
    </w:p>
    <w:p w:rsidR="00280B17" w:rsidRPr="00E478F8" w:rsidRDefault="00280B17" w:rsidP="00E478F8">
      <w:pPr>
        <w:numPr>
          <w:ilvl w:val="0"/>
          <w:numId w:val="14"/>
        </w:numPr>
        <w:spacing w:beforeLines="120" w:before="288" w:after="0" w:line="276" w:lineRule="auto"/>
        <w:ind w:left="-284" w:right="-568"/>
        <w:jc w:val="both"/>
        <w:rPr>
          <w:rFonts w:ascii="Arial" w:hAnsi="Arial" w:cs="Arial"/>
          <w:bCs/>
        </w:rPr>
      </w:pPr>
      <w:r w:rsidRPr="00E478F8">
        <w:rPr>
          <w:rFonts w:ascii="Arial" w:hAnsi="Arial" w:cs="Arial"/>
          <w:bCs/>
        </w:rPr>
        <w:t>Tradição e Credibilidade da Instituição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rsidR="00280B17" w:rsidRPr="00E478F8" w:rsidRDefault="00280B17" w:rsidP="00E478F8">
      <w:pPr>
        <w:numPr>
          <w:ilvl w:val="0"/>
          <w:numId w:val="14"/>
        </w:numPr>
        <w:spacing w:beforeLines="120" w:before="288" w:after="0" w:line="276" w:lineRule="auto"/>
        <w:ind w:left="-284" w:right="-568"/>
        <w:jc w:val="both"/>
        <w:rPr>
          <w:rFonts w:ascii="Arial" w:hAnsi="Arial" w:cs="Arial"/>
          <w:bCs/>
        </w:rPr>
      </w:pPr>
      <w:r w:rsidRPr="00E478F8">
        <w:rPr>
          <w:rFonts w:ascii="Arial" w:hAnsi="Arial" w:cs="Arial"/>
          <w:bCs/>
        </w:rPr>
        <w:t xml:space="preserve">Gestão do Risco – envolvendo qualidade e consistência dos processos de administração e gestão, em especial aos riscos de crédito – quando aplicável – liquidez, mercado, legal e operacional, efetividade dos controles internos, envolvendo, ainda, o uso de ferramentas, </w:t>
      </w:r>
      <w:r w:rsidRPr="00E478F8">
        <w:rPr>
          <w:rFonts w:ascii="Arial" w:hAnsi="Arial" w:cs="Arial"/>
          <w:bCs/>
        </w:rPr>
        <w:lastRenderedPageBreak/>
        <w:t>softwares e consultorias especializadas, regularidade na prestação de informações, atuação da área de “</w:t>
      </w:r>
      <w:proofErr w:type="spellStart"/>
      <w:r w:rsidRPr="00E478F8">
        <w:rPr>
          <w:rFonts w:ascii="Arial" w:hAnsi="Arial" w:cs="Arial"/>
          <w:bCs/>
        </w:rPr>
        <w:t>compliance</w:t>
      </w:r>
      <w:proofErr w:type="spellEnd"/>
      <w:r w:rsidRPr="00E478F8">
        <w:rPr>
          <w:rFonts w:ascii="Arial" w:hAnsi="Arial" w:cs="Arial"/>
          <w:bCs/>
        </w:rPr>
        <w:t>”,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rsidR="00280B17" w:rsidRPr="00E478F8" w:rsidRDefault="00280B17" w:rsidP="00E478F8">
      <w:pPr>
        <w:numPr>
          <w:ilvl w:val="0"/>
          <w:numId w:val="14"/>
        </w:numPr>
        <w:spacing w:beforeLines="120" w:before="288" w:after="0" w:line="276" w:lineRule="auto"/>
        <w:ind w:left="-284" w:right="-568"/>
        <w:jc w:val="both"/>
        <w:rPr>
          <w:rFonts w:ascii="Arial" w:hAnsi="Arial" w:cs="Arial"/>
          <w:bCs/>
        </w:rPr>
      </w:pPr>
      <w:r w:rsidRPr="00E478F8">
        <w:rPr>
          <w:rFonts w:ascii="Arial" w:hAnsi="Arial" w:cs="Arial"/>
          <w:bCs/>
        </w:rPr>
        <w:t>Avaliação de aderência dos Fundos aos indicadores de desempenho (Benchmark) e riscos – envolvendo a correlação da rentabilidade com seus objetivos e a consistência na entrega de resultados no período mínimo de dois anos anteriores ao credenciamento;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Entende-se que os fundos possuem uma gestão discricionária, na qual o gestor decide pelos investimentos que vai realizar, desde que respeitando o regulamento do fundo e as normas aplicáveis aos RPPS.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O Credenciamento se dará, por meio eletrônico, no âmbito de controle, inclusive no gerenciamento dos documentos e Certidões requisitadas, através do sistema eletrônico utilizado pelo RPPS.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Fica definido também, como critério de documento para credenciamento, o relatório </w:t>
      </w:r>
      <w:proofErr w:type="spellStart"/>
      <w:r w:rsidRPr="00E478F8">
        <w:rPr>
          <w:rFonts w:ascii="Arial" w:hAnsi="Arial" w:cs="Arial"/>
          <w:bCs/>
          <w:i/>
        </w:rPr>
        <w:t>Due</w:t>
      </w:r>
      <w:proofErr w:type="spellEnd"/>
      <w:r w:rsidRPr="00E478F8">
        <w:rPr>
          <w:rFonts w:ascii="Arial" w:hAnsi="Arial" w:cs="Arial"/>
          <w:bCs/>
          <w:i/>
        </w:rPr>
        <w:t xml:space="preserve"> </w:t>
      </w:r>
      <w:proofErr w:type="spellStart"/>
      <w:r w:rsidRPr="00E478F8">
        <w:rPr>
          <w:rFonts w:ascii="Arial" w:hAnsi="Arial" w:cs="Arial"/>
          <w:bCs/>
          <w:i/>
        </w:rPr>
        <w:t>Diligence</w:t>
      </w:r>
      <w:proofErr w:type="spellEnd"/>
      <w:r w:rsidRPr="00E478F8">
        <w:rPr>
          <w:rFonts w:ascii="Arial" w:hAnsi="Arial" w:cs="Arial"/>
          <w:bCs/>
          <w:i/>
        </w:rPr>
        <w:t xml:space="preserve"> </w:t>
      </w:r>
      <w:r w:rsidRPr="00E478F8">
        <w:rPr>
          <w:rFonts w:ascii="Arial" w:hAnsi="Arial" w:cs="Arial"/>
          <w:bCs/>
        </w:rPr>
        <w:t xml:space="preserve">da ANBIMA, entendidos como seção </w:t>
      </w:r>
      <w:proofErr w:type="gramStart"/>
      <w:r w:rsidRPr="00E478F8">
        <w:rPr>
          <w:rFonts w:ascii="Arial" w:hAnsi="Arial" w:cs="Arial"/>
          <w:bCs/>
        </w:rPr>
        <w:t>um, dois e três</w:t>
      </w:r>
      <w:proofErr w:type="gramEnd"/>
      <w:r w:rsidRPr="00E478F8">
        <w:rPr>
          <w:rFonts w:ascii="Arial" w:hAnsi="Arial" w:cs="Arial"/>
          <w:bCs/>
        </w:rPr>
        <w:t>.</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Encontra-se qualificado para participar do processo seletivo qualquer empresa gestora de recursos </w:t>
      </w:r>
      <w:proofErr w:type="gramStart"/>
      <w:r w:rsidRPr="00E478F8">
        <w:rPr>
          <w:rFonts w:ascii="Arial" w:hAnsi="Arial" w:cs="Arial"/>
          <w:bCs/>
        </w:rPr>
        <w:t>financeiros autorizada a funcionar pelo órgão regulador (Banco Central do Brasil ou Comissão de Valores Mobiliários), sendo considerada como elegível a gestora/administradora que atender ao critério de avaliação de Qualidade de Gestão dos Investimentos</w:t>
      </w:r>
      <w:proofErr w:type="gramEnd"/>
      <w:r w:rsidRPr="00E478F8">
        <w:rPr>
          <w:rFonts w:ascii="Arial" w:hAnsi="Arial" w:cs="Arial"/>
          <w:bCs/>
        </w:rPr>
        <w:t>.</w:t>
      </w:r>
      <w:bookmarkStart w:id="113" w:name="_Toc435189700"/>
      <w:bookmarkStart w:id="114" w:name="_Toc435202758"/>
      <w:bookmarkStart w:id="115" w:name="_Toc490036563"/>
    </w:p>
    <w:p w:rsidR="00280B17" w:rsidRPr="00F8600B" w:rsidRDefault="00280B17" w:rsidP="00E478F8">
      <w:pPr>
        <w:spacing w:beforeLines="120" w:before="288" w:after="0" w:line="276" w:lineRule="auto"/>
        <w:ind w:left="-284" w:right="-568"/>
        <w:jc w:val="both"/>
        <w:rPr>
          <w:rFonts w:ascii="Arial" w:hAnsi="Arial" w:cs="Arial"/>
          <w:b/>
        </w:rPr>
      </w:pPr>
      <w:r w:rsidRPr="00E478F8">
        <w:rPr>
          <w:rFonts w:ascii="Arial" w:hAnsi="Arial" w:cs="Arial"/>
          <w:bCs/>
        </w:rPr>
        <w:br w:type="page"/>
      </w:r>
      <w:bookmarkStart w:id="116" w:name="_Toc497213366"/>
      <w:r w:rsidRPr="00F8600B">
        <w:rPr>
          <w:rFonts w:ascii="Arial" w:hAnsi="Arial" w:cs="Arial"/>
          <w:b/>
        </w:rPr>
        <w:lastRenderedPageBreak/>
        <w:t>PRECIFICAÇÃO DE ATIVOS</w:t>
      </w:r>
      <w:bookmarkEnd w:id="116"/>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t>Os princípios e critérios de precificação para os ativos e os fundos de investimentos que compõe ou que virão a compor a carteira de investimentos do INSTITUTO DE PREVIDÊNCIA SOCIAL DOS SERVIDORES MUNICIPAIS DE NOVA ALVORADA DO SUL, deverão seguir o critério de precificação de marcação a mercado (</w:t>
      </w:r>
      <w:proofErr w:type="spellStart"/>
      <w:proofErr w:type="gramStart"/>
      <w:r w:rsidRPr="00E478F8">
        <w:rPr>
          <w:rFonts w:ascii="Arial" w:hAnsi="Arial" w:cs="Arial"/>
          <w:bCs/>
        </w:rPr>
        <w:t>MaM</w:t>
      </w:r>
      <w:proofErr w:type="spellEnd"/>
      <w:proofErr w:type="gramEnd"/>
      <w:r w:rsidRPr="00E478F8">
        <w:rPr>
          <w:rFonts w:ascii="Arial" w:hAnsi="Arial" w:cs="Arial"/>
          <w:bCs/>
        </w:rPr>
        <w:t>).</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117" w:name="_Toc497213367"/>
      <w:r w:rsidRPr="00E478F8">
        <w:t>METODOLOGIA</w:t>
      </w:r>
      <w:bookmarkEnd w:id="117"/>
    </w:p>
    <w:p w:rsidR="00280B17" w:rsidRDefault="00280B17" w:rsidP="00E478F8">
      <w:pPr>
        <w:spacing w:beforeLines="120" w:before="288" w:line="276" w:lineRule="auto"/>
        <w:ind w:left="-284" w:right="-568"/>
        <w:jc w:val="both"/>
        <w:rPr>
          <w:rFonts w:ascii="Arial" w:hAnsi="Arial" w:cs="Arial"/>
          <w:bCs/>
        </w:rPr>
      </w:pPr>
      <w:r w:rsidRPr="00E478F8">
        <w:rPr>
          <w:rFonts w:ascii="Arial" w:hAnsi="Arial" w:cs="Arial"/>
          <w:bCs/>
        </w:rPr>
        <w:t>O processo de marcação a mercado consiste em atribuir um preço justo a um determinado ativo ou derivativo, seja pelo preço de mercado, caso haja liquidez, ou seja, na ausência desta, pela melhor estimativa que o preço do ativo teria em uma eventual negociação.</w:t>
      </w:r>
    </w:p>
    <w:p w:rsidR="00F8600B" w:rsidRPr="00E478F8" w:rsidRDefault="00F8600B" w:rsidP="00E478F8">
      <w:pPr>
        <w:spacing w:beforeLines="120" w:before="288" w:line="276" w:lineRule="auto"/>
        <w:ind w:left="-284" w:right="-568"/>
        <w:jc w:val="both"/>
        <w:rPr>
          <w:rFonts w:ascii="Arial" w:hAnsi="Arial" w:cs="Arial"/>
          <w:bCs/>
        </w:rPr>
      </w:pPr>
    </w:p>
    <w:p w:rsidR="00280B17" w:rsidRPr="00E478F8" w:rsidRDefault="00280B17" w:rsidP="00E478F8">
      <w:pPr>
        <w:pStyle w:val="Ttulo2"/>
      </w:pPr>
      <w:bookmarkStart w:id="118" w:name="_Toc497213368"/>
      <w:r w:rsidRPr="00E478F8">
        <w:t>CRITÉRIOS DE PRECIFICAÇÃO</w:t>
      </w:r>
      <w:bookmarkEnd w:id="118"/>
    </w:p>
    <w:p w:rsidR="00280B17" w:rsidRPr="00F8600B" w:rsidRDefault="00280B17" w:rsidP="00F8600B">
      <w:pPr>
        <w:pStyle w:val="Ttulo3"/>
        <w:spacing w:after="240" w:line="276" w:lineRule="auto"/>
        <w:ind w:left="-284" w:right="-568" w:firstLine="0"/>
        <w:jc w:val="both"/>
        <w:rPr>
          <w:rFonts w:ascii="Arial" w:hAnsi="Arial" w:cs="Arial"/>
          <w:color w:val="auto"/>
          <w:sz w:val="22"/>
          <w:szCs w:val="22"/>
        </w:rPr>
      </w:pPr>
      <w:bookmarkStart w:id="119" w:name="_Toc497213369"/>
      <w:r w:rsidRPr="00F8600B">
        <w:rPr>
          <w:rFonts w:ascii="Arial" w:hAnsi="Arial" w:cs="Arial"/>
          <w:color w:val="auto"/>
          <w:sz w:val="22"/>
          <w:szCs w:val="22"/>
        </w:rPr>
        <w:t>TÍTULOS PÚBLICOS FEDERAIS</w:t>
      </w:r>
      <w:bookmarkEnd w:id="119"/>
    </w:p>
    <w:p w:rsidR="00280B17" w:rsidRPr="00E478F8" w:rsidRDefault="00280B17" w:rsidP="00E478F8">
      <w:pPr>
        <w:spacing w:after="240" w:line="276" w:lineRule="auto"/>
        <w:ind w:left="-284" w:right="-568"/>
        <w:jc w:val="both"/>
        <w:rPr>
          <w:rFonts w:ascii="Arial" w:hAnsi="Arial" w:cs="Arial"/>
        </w:rPr>
      </w:pPr>
      <w:r w:rsidRPr="00E478F8">
        <w:rPr>
          <w:rFonts w:ascii="Arial" w:hAnsi="Arial" w:cs="Arial"/>
          <w:bCs/>
        </w:rPr>
        <w:t xml:space="preserve">São </w:t>
      </w:r>
      <w:r w:rsidRPr="00E478F8">
        <w:rPr>
          <w:rFonts w:ascii="Arial" w:hAnsi="Arial" w:cs="Arial"/>
        </w:rPr>
        <w:t xml:space="preserve">ativos de renda </w:t>
      </w:r>
      <w:proofErr w:type="gramStart"/>
      <w:r w:rsidRPr="00E478F8">
        <w:rPr>
          <w:rFonts w:ascii="Arial" w:hAnsi="Arial" w:cs="Arial"/>
        </w:rPr>
        <w:t>fixa emitidos pelo Tesouro Nacional, que representam uma forma de financiar a dívida pública</w:t>
      </w:r>
      <w:proofErr w:type="gramEnd"/>
      <w:r w:rsidRPr="00E478F8">
        <w:rPr>
          <w:rFonts w:ascii="Arial" w:hAnsi="Arial" w:cs="Arial"/>
        </w:rPr>
        <w:t xml:space="preserve"> e permitem que os investidores emprestem dinheiro para o governo, recebendo em troca uma determinada rentabilidade. Possuem diversas características como: liquidez diária, baixo custo, baixíssimo risco de crédito, e a solidez de uma instituição enorme por trás.</w:t>
      </w:r>
    </w:p>
    <w:p w:rsidR="00280B17" w:rsidRPr="00E478F8" w:rsidRDefault="00280B17" w:rsidP="00E478F8">
      <w:pPr>
        <w:spacing w:after="240" w:line="276" w:lineRule="auto"/>
        <w:ind w:left="-284" w:right="-568"/>
        <w:jc w:val="both"/>
        <w:rPr>
          <w:rFonts w:ascii="Arial" w:hAnsi="Arial" w:cs="Arial"/>
        </w:rPr>
      </w:pPr>
      <w:r w:rsidRPr="00E478F8">
        <w:rPr>
          <w:rFonts w:ascii="Arial" w:hAnsi="Arial" w:cs="Arial"/>
        </w:rPr>
        <w:t>Como fonte primária de dados, a curva de títulos em reais, gerada a partir da taxa indicativa divulgada pela ANBIMA e a taxa de juros divulgada pelo Banco Central, encontramos o valor do preço unitário do título público.</w:t>
      </w:r>
    </w:p>
    <w:p w:rsidR="00280B17" w:rsidRPr="00E478F8" w:rsidRDefault="00280B17" w:rsidP="00E478F8">
      <w:pPr>
        <w:spacing w:after="240" w:line="276" w:lineRule="auto"/>
        <w:ind w:left="-284" w:right="-568"/>
        <w:jc w:val="both"/>
        <w:rPr>
          <w:rFonts w:ascii="Arial" w:hAnsi="Arial" w:cs="Arial"/>
        </w:rPr>
      </w:pPr>
      <w:r w:rsidRPr="00E478F8">
        <w:rPr>
          <w:rFonts w:ascii="Arial" w:hAnsi="Arial" w:cs="Arial"/>
        </w:rPr>
        <w:t xml:space="preserve">Através do preço unitário divulgado no extrato do </w:t>
      </w:r>
      <w:proofErr w:type="spellStart"/>
      <w:r w:rsidRPr="00E478F8">
        <w:rPr>
          <w:rFonts w:ascii="Arial" w:hAnsi="Arial" w:cs="Arial"/>
        </w:rPr>
        <w:t>custodiante</w:t>
      </w:r>
      <w:proofErr w:type="spellEnd"/>
      <w:r w:rsidRPr="00E478F8">
        <w:rPr>
          <w:rFonts w:ascii="Arial" w:hAnsi="Arial" w:cs="Arial"/>
        </w:rPr>
        <w:t>, multiplicado pela quantidade de títulos públicos detidos pelo regime, obtivemos o valor a mercado do título público na carteira de investimentos. Abaixo segue fórmula:</w:t>
      </w:r>
    </w:p>
    <w:p w:rsidR="00280B17" w:rsidRPr="00E478F8" w:rsidRDefault="00280B17" w:rsidP="00E478F8">
      <w:pPr>
        <w:spacing w:after="240" w:line="276" w:lineRule="auto"/>
        <w:ind w:left="-284" w:right="-568"/>
        <w:jc w:val="both"/>
        <w:rPr>
          <w:rFonts w:ascii="Arial" w:hAnsi="Arial" w:cs="Arial"/>
        </w:rPr>
      </w:pPr>
      <m:oMathPara>
        <m:oMathParaPr>
          <m:jc m:val="center"/>
        </m:oMathParaPr>
        <m:oMath>
          <m:r>
            <w:rPr>
              <w:rFonts w:ascii="Cambria Math" w:hAnsi="Cambria Math" w:cs="Arial"/>
            </w:rPr>
            <m:t>Vm=P</m:t>
          </m:r>
          <m:sSub>
            <m:sSubPr>
              <m:ctrlPr>
                <w:rPr>
                  <w:rFonts w:ascii="Cambria Math" w:hAnsi="Cambria Math" w:cs="Arial"/>
                  <w:i/>
                </w:rPr>
              </m:ctrlPr>
            </m:sSubPr>
            <m:e>
              <m:r>
                <w:rPr>
                  <w:rFonts w:ascii="Cambria Math" w:hAnsi="Cambria Math" w:cs="Arial"/>
                </w:rPr>
                <m:t>U</m:t>
              </m:r>
            </m:e>
            <m:sub>
              <m:r>
                <w:rPr>
                  <w:rFonts w:ascii="Cambria Math" w:hAnsi="Cambria Math" w:cs="Arial"/>
                </w:rPr>
                <m:t>Atual</m:t>
              </m:r>
            </m:sub>
          </m:sSub>
          <m:r>
            <w:rPr>
              <w:rFonts w:ascii="Cambria Math" w:hAnsi="Cambria Math" w:cs="Arial"/>
            </w:rPr>
            <m:t>*Q</m:t>
          </m:r>
          <m:sSub>
            <m:sSubPr>
              <m:ctrlPr>
                <w:rPr>
                  <w:rFonts w:ascii="Cambria Math" w:hAnsi="Cambria Math" w:cs="Arial"/>
                  <w:i/>
                </w:rPr>
              </m:ctrlPr>
            </m:sSubPr>
            <m:e>
              <m:r>
                <w:rPr>
                  <w:rFonts w:ascii="Cambria Math" w:hAnsi="Cambria Math" w:cs="Arial"/>
                </w:rPr>
                <m:t>t</m:t>
              </m:r>
            </m:e>
            <m:sub>
              <m:r>
                <w:rPr>
                  <w:rFonts w:ascii="Cambria Math" w:hAnsi="Cambria Math" w:cs="Arial"/>
                </w:rPr>
                <m:t>título</m:t>
              </m:r>
            </m:sub>
          </m:sSub>
        </m:oMath>
      </m:oMathPara>
    </w:p>
    <w:p w:rsidR="00280B17" w:rsidRPr="00E478F8" w:rsidRDefault="00280B17" w:rsidP="00E478F8">
      <w:pPr>
        <w:spacing w:after="240" w:line="276" w:lineRule="auto"/>
        <w:ind w:left="-284" w:right="-568"/>
        <w:jc w:val="both"/>
        <w:rPr>
          <w:rFonts w:ascii="Arial" w:hAnsi="Arial" w:cs="Arial"/>
        </w:rPr>
      </w:pPr>
      <w:r w:rsidRPr="00E478F8">
        <w:rPr>
          <w:rFonts w:ascii="Arial" w:hAnsi="Arial" w:cs="Arial"/>
        </w:rPr>
        <w:t>Onde:</w:t>
      </w:r>
    </w:p>
    <w:p w:rsidR="00280B17" w:rsidRPr="00E478F8" w:rsidRDefault="00280B17" w:rsidP="00E478F8">
      <w:pPr>
        <w:spacing w:after="240" w:line="276" w:lineRule="auto"/>
        <w:ind w:left="-284" w:right="-568"/>
        <w:jc w:val="both"/>
        <w:rPr>
          <w:rFonts w:ascii="Arial" w:hAnsi="Arial" w:cs="Arial"/>
        </w:rPr>
      </w:pPr>
      <w:proofErr w:type="spellStart"/>
      <w:r w:rsidRPr="00E478F8">
        <w:rPr>
          <w:rFonts w:ascii="Arial" w:hAnsi="Arial" w:cs="Arial"/>
        </w:rPr>
        <w:t>Vm</w:t>
      </w:r>
      <w:proofErr w:type="spellEnd"/>
      <w:r w:rsidRPr="00E478F8">
        <w:rPr>
          <w:rFonts w:ascii="Arial" w:hAnsi="Arial" w:cs="Arial"/>
        </w:rPr>
        <w:t xml:space="preserve"> = valor de mercado</w:t>
      </w:r>
    </w:p>
    <w:p w:rsidR="00280B17" w:rsidRPr="00E478F8" w:rsidRDefault="00280B17" w:rsidP="00E478F8">
      <w:pPr>
        <w:spacing w:after="240" w:line="276" w:lineRule="auto"/>
        <w:ind w:left="-284" w:right="-568"/>
        <w:jc w:val="both"/>
        <w:rPr>
          <w:rFonts w:ascii="Arial" w:hAnsi="Arial" w:cs="Arial"/>
        </w:rPr>
      </w:pPr>
      <m:oMath>
        <m:r>
          <w:rPr>
            <w:rFonts w:ascii="Cambria Math" w:eastAsiaTheme="minorEastAsia" w:hAnsi="Cambria Math" w:cs="Arial"/>
          </w:rPr>
          <m:t>P</m:t>
        </m:r>
        <m:sSub>
          <m:sSubPr>
            <m:ctrlPr>
              <w:rPr>
                <w:rFonts w:ascii="Cambria Math" w:eastAsiaTheme="minorEastAsia" w:hAnsi="Cambria Math" w:cs="Arial"/>
                <w:i/>
              </w:rPr>
            </m:ctrlPr>
          </m:sSubPr>
          <m:e>
            <m:r>
              <w:rPr>
                <w:rFonts w:ascii="Cambria Math" w:eastAsiaTheme="minorEastAsia" w:hAnsi="Cambria Math" w:cs="Arial"/>
              </w:rPr>
              <m:t>U</m:t>
            </m:r>
          </m:e>
          <m:sub>
            <m:r>
              <w:rPr>
                <w:rFonts w:ascii="Cambria Math" w:eastAsiaTheme="minorEastAsia" w:hAnsi="Cambria Math" w:cs="Arial"/>
              </w:rPr>
              <m:t>atual</m:t>
            </m:r>
          </m:sub>
        </m:sSub>
      </m:oMath>
      <w:r w:rsidRPr="00E478F8">
        <w:rPr>
          <w:rFonts w:ascii="Arial" w:hAnsi="Arial" w:cs="Arial"/>
        </w:rPr>
        <w:t xml:space="preserve"> = preço unitário atual</w:t>
      </w:r>
    </w:p>
    <w:p w:rsidR="00280B17" w:rsidRPr="00E478F8" w:rsidRDefault="00280B17" w:rsidP="00E478F8">
      <w:pPr>
        <w:spacing w:after="240" w:line="276" w:lineRule="auto"/>
        <w:ind w:left="-284" w:right="-568"/>
        <w:jc w:val="both"/>
        <w:rPr>
          <w:rFonts w:ascii="Arial" w:hAnsi="Arial" w:cs="Arial"/>
        </w:rPr>
      </w:pPr>
      <m:oMath>
        <m:r>
          <w:rPr>
            <w:rFonts w:ascii="Cambria Math" w:hAnsi="Cambria Math" w:cs="Arial"/>
          </w:rPr>
          <m:t>Q</m:t>
        </m:r>
        <m:sSub>
          <m:sSubPr>
            <m:ctrlPr>
              <w:rPr>
                <w:rFonts w:ascii="Cambria Math" w:hAnsi="Cambria Math" w:cs="Arial"/>
                <w:i/>
              </w:rPr>
            </m:ctrlPr>
          </m:sSubPr>
          <m:e>
            <m:r>
              <w:rPr>
                <w:rFonts w:ascii="Cambria Math" w:hAnsi="Cambria Math" w:cs="Arial"/>
              </w:rPr>
              <m:t>t</m:t>
            </m:r>
          </m:e>
          <m:sub>
            <m:r>
              <w:rPr>
                <w:rFonts w:ascii="Cambria Math" w:hAnsi="Cambria Math" w:cs="Arial"/>
              </w:rPr>
              <m:t>títulos</m:t>
            </m:r>
          </m:sub>
        </m:sSub>
      </m:oMath>
      <w:r w:rsidRPr="00E478F8">
        <w:rPr>
          <w:rFonts w:ascii="Arial" w:hAnsi="Arial" w:cs="Arial"/>
        </w:rPr>
        <w:t xml:space="preserve"> = quantidade de títulos em posso do regime</w:t>
      </w:r>
    </w:p>
    <w:p w:rsidR="00280B17" w:rsidRPr="00F8600B" w:rsidRDefault="00280B17" w:rsidP="00F8600B">
      <w:pPr>
        <w:pStyle w:val="Ttulo3"/>
        <w:spacing w:after="240" w:line="276" w:lineRule="auto"/>
        <w:ind w:left="-284" w:right="-568" w:firstLine="0"/>
        <w:jc w:val="both"/>
        <w:rPr>
          <w:rFonts w:ascii="Arial" w:hAnsi="Arial" w:cs="Arial"/>
          <w:color w:val="auto"/>
          <w:sz w:val="22"/>
          <w:szCs w:val="22"/>
        </w:rPr>
      </w:pPr>
      <w:bookmarkStart w:id="120" w:name="_Toc497213370"/>
      <w:r w:rsidRPr="00F8600B">
        <w:rPr>
          <w:rFonts w:ascii="Arial" w:hAnsi="Arial" w:cs="Arial"/>
          <w:color w:val="auto"/>
          <w:sz w:val="22"/>
          <w:szCs w:val="22"/>
        </w:rPr>
        <w:lastRenderedPageBreak/>
        <w:t>FUNDOS DE INVESTIMENTOS</w:t>
      </w:r>
      <w:bookmarkEnd w:id="120"/>
    </w:p>
    <w:p w:rsidR="00280B17" w:rsidRPr="00E478F8" w:rsidRDefault="00280B17" w:rsidP="00E478F8">
      <w:pPr>
        <w:spacing w:line="276" w:lineRule="auto"/>
        <w:ind w:left="-284" w:right="-568"/>
        <w:jc w:val="both"/>
        <w:rPr>
          <w:rFonts w:ascii="Arial" w:hAnsi="Arial" w:cs="Arial"/>
        </w:rPr>
      </w:pPr>
      <w:r w:rsidRPr="00E478F8">
        <w:rPr>
          <w:rFonts w:ascii="Arial" w:hAnsi="Arial" w:cs="Arial"/>
        </w:rPr>
        <w:t>A Instrução CVM 555 dispõe sobre a constituição, a administração, o funcionamento e a divulgação de informações dos fundos de investimento.</w:t>
      </w:r>
    </w:p>
    <w:p w:rsidR="00280B17" w:rsidRPr="00E478F8" w:rsidRDefault="00280B17" w:rsidP="00E478F8">
      <w:pPr>
        <w:spacing w:line="276" w:lineRule="auto"/>
        <w:ind w:left="-284" w:right="-568"/>
        <w:jc w:val="both"/>
        <w:rPr>
          <w:rFonts w:ascii="Arial" w:hAnsi="Arial" w:cs="Arial"/>
        </w:rPr>
      </w:pPr>
      <w:r w:rsidRPr="00E478F8">
        <w:rPr>
          <w:rFonts w:ascii="Arial" w:hAnsi="Arial" w:cs="Arial"/>
        </w:rPr>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rsidR="00280B17" w:rsidRPr="00E478F8" w:rsidRDefault="00280B17" w:rsidP="00E478F8">
      <w:pPr>
        <w:spacing w:line="276" w:lineRule="auto"/>
        <w:ind w:left="-284" w:right="-568"/>
        <w:jc w:val="both"/>
        <w:rPr>
          <w:rFonts w:ascii="Arial" w:hAnsi="Arial" w:cs="Arial"/>
        </w:rPr>
      </w:pPr>
      <w:r w:rsidRPr="00E478F8">
        <w:rPr>
          <w:rFonts w:ascii="Arial" w:hAnsi="Arial" w:cs="Arial"/>
        </w:rPr>
        <w:t>Através de divulgação pública e oficial, calcula-se o retorno do fundo de investimentos auferindo o rendimento do período, multiplicado pelo valor atual. Abaixo segue fórmula:</w:t>
      </w:r>
    </w:p>
    <w:p w:rsidR="00280B17" w:rsidRPr="00E478F8" w:rsidRDefault="00280B17" w:rsidP="00E478F8">
      <w:pPr>
        <w:spacing w:line="276" w:lineRule="auto"/>
        <w:ind w:left="-284" w:right="-568"/>
        <w:jc w:val="both"/>
        <w:rPr>
          <w:rFonts w:ascii="Arial" w:eastAsiaTheme="minorEastAsia" w:hAnsi="Arial" w:cs="Arial"/>
        </w:rPr>
      </w:pPr>
      <m:oMathPara>
        <m:oMath>
          <m:r>
            <w:rPr>
              <w:rFonts w:ascii="Cambria Math" w:hAnsi="Cambria Math" w:cs="Arial"/>
            </w:rPr>
            <m:t>retorno=</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S</m:t>
                  </m:r>
                </m:e>
                <m:sub>
                  <m:r>
                    <w:rPr>
                      <w:rFonts w:ascii="Cambria Math" w:hAnsi="Cambria Math" w:cs="Arial"/>
                    </w:rPr>
                    <m:t>anterior</m:t>
                  </m:r>
                </m:sub>
              </m:sSub>
            </m:e>
          </m:d>
          <m:r>
            <w:rPr>
              <w:rFonts w:ascii="Cambria Math" w:hAnsi="Cambria Math" w:cs="Arial"/>
            </w:rPr>
            <m:t>* Ren</m:t>
          </m:r>
          <m:sSub>
            <m:sSubPr>
              <m:ctrlPr>
                <w:rPr>
                  <w:rFonts w:ascii="Cambria Math" w:hAnsi="Cambria Math" w:cs="Arial"/>
                  <w:i/>
                </w:rPr>
              </m:ctrlPr>
            </m:sSubPr>
            <m:e>
              <m:r>
                <w:rPr>
                  <w:rFonts w:ascii="Cambria Math" w:hAnsi="Cambria Math" w:cs="Arial"/>
                </w:rPr>
                <m:t>d</m:t>
              </m:r>
            </m:e>
            <m:sub>
              <m:r>
                <w:rPr>
                  <w:rFonts w:ascii="Cambria Math" w:hAnsi="Cambria Math" w:cs="Arial"/>
                </w:rPr>
                <m:t>fundo</m:t>
              </m:r>
            </m:sub>
          </m:sSub>
        </m:oMath>
      </m:oMathPara>
    </w:p>
    <w:p w:rsidR="00280B17" w:rsidRPr="00E478F8" w:rsidRDefault="00280B17" w:rsidP="00E478F8">
      <w:pPr>
        <w:spacing w:line="276" w:lineRule="auto"/>
        <w:ind w:left="-284" w:right="-568"/>
        <w:jc w:val="both"/>
        <w:rPr>
          <w:rFonts w:ascii="Arial" w:eastAsiaTheme="minorEastAsia" w:hAnsi="Arial" w:cs="Arial"/>
        </w:rPr>
      </w:pPr>
      <w:r w:rsidRPr="00E478F8">
        <w:rPr>
          <w:rFonts w:ascii="Arial" w:eastAsiaTheme="minorEastAsia" w:hAnsi="Arial" w:cs="Arial"/>
        </w:rPr>
        <w:t>Onde:</w:t>
      </w:r>
    </w:p>
    <w:p w:rsidR="00280B17" w:rsidRPr="00E478F8" w:rsidRDefault="00280B17" w:rsidP="00E478F8">
      <w:pPr>
        <w:spacing w:line="276" w:lineRule="auto"/>
        <w:ind w:left="-284" w:right="-568"/>
        <w:jc w:val="both"/>
        <w:rPr>
          <w:rFonts w:ascii="Arial" w:eastAsiaTheme="minorEastAsia" w:hAnsi="Arial" w:cs="Arial"/>
        </w:rPr>
      </w:pPr>
      <w:r w:rsidRPr="00E478F8">
        <w:rPr>
          <w:rFonts w:ascii="Arial" w:eastAsiaTheme="minorEastAsia" w:hAnsi="Arial" w:cs="Arial"/>
        </w:rPr>
        <w:t>Retorno: valor da diferente do montante aportado e o resultado final do período</w:t>
      </w:r>
    </w:p>
    <w:p w:rsidR="00280B17" w:rsidRPr="00E478F8" w:rsidRDefault="006F0DF4" w:rsidP="00E478F8">
      <w:pPr>
        <w:spacing w:line="276" w:lineRule="auto"/>
        <w:ind w:left="-284" w:right="-568"/>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anterior</m:t>
            </m:r>
          </m:sub>
        </m:sSub>
      </m:oMath>
      <w:r w:rsidR="00280B17" w:rsidRPr="00E478F8">
        <w:rPr>
          <w:rFonts w:ascii="Arial" w:eastAsiaTheme="minorEastAsia" w:hAnsi="Arial" w:cs="Arial"/>
        </w:rPr>
        <w:t xml:space="preserve"> : saldo inicial do investimento</w:t>
      </w:r>
    </w:p>
    <w:p w:rsidR="00280B17" w:rsidRPr="00E478F8" w:rsidRDefault="00280B17" w:rsidP="00E478F8">
      <w:pPr>
        <w:spacing w:line="276" w:lineRule="auto"/>
        <w:ind w:left="-284" w:right="-568"/>
        <w:jc w:val="both"/>
        <w:rPr>
          <w:rFonts w:ascii="Arial" w:eastAsiaTheme="minorEastAsia" w:hAnsi="Arial" w:cs="Arial"/>
        </w:rPr>
      </w:pPr>
      <m:oMath>
        <m:r>
          <w:rPr>
            <w:rFonts w:ascii="Cambria Math" w:hAnsi="Cambria Math" w:cs="Arial"/>
          </w:rPr>
          <m:t>Ren</m:t>
        </m:r>
        <m:sSub>
          <m:sSubPr>
            <m:ctrlPr>
              <w:rPr>
                <w:rFonts w:ascii="Cambria Math" w:hAnsi="Cambria Math" w:cs="Arial"/>
                <w:i/>
              </w:rPr>
            </m:ctrlPr>
          </m:sSubPr>
          <m:e>
            <m:r>
              <w:rPr>
                <w:rFonts w:ascii="Cambria Math" w:hAnsi="Cambria Math" w:cs="Arial"/>
              </w:rPr>
              <m:t>d</m:t>
            </m:r>
          </m:e>
          <m:sub>
            <m:r>
              <w:rPr>
                <w:rFonts w:ascii="Cambria Math" w:hAnsi="Cambria Math" w:cs="Arial"/>
              </w:rPr>
              <m:t>fundo</m:t>
            </m:r>
          </m:sub>
        </m:sSub>
      </m:oMath>
      <w:r w:rsidRPr="00E478F8">
        <w:rPr>
          <w:rFonts w:ascii="Arial" w:eastAsiaTheme="minorEastAsia" w:hAnsi="Arial" w:cs="Arial"/>
        </w:rPr>
        <w:t xml:space="preserve"> : rendimento do fundo de investimento em um determinado período (em percentual)</w:t>
      </w:r>
    </w:p>
    <w:p w:rsidR="00280B17" w:rsidRPr="00E478F8" w:rsidRDefault="00280B17" w:rsidP="00E478F8">
      <w:pPr>
        <w:spacing w:line="276" w:lineRule="auto"/>
        <w:ind w:left="-284" w:right="-568"/>
        <w:jc w:val="both"/>
        <w:rPr>
          <w:rFonts w:ascii="Arial" w:eastAsiaTheme="minorEastAsia" w:hAnsi="Arial" w:cs="Arial"/>
        </w:rPr>
      </w:pPr>
    </w:p>
    <w:p w:rsidR="00280B17" w:rsidRPr="00E478F8" w:rsidRDefault="00280B17" w:rsidP="00E478F8">
      <w:pPr>
        <w:spacing w:line="276" w:lineRule="auto"/>
        <w:ind w:left="-284" w:right="-568"/>
        <w:jc w:val="both"/>
        <w:rPr>
          <w:rFonts w:ascii="Arial" w:eastAsiaTheme="minorEastAsia" w:hAnsi="Arial" w:cs="Arial"/>
        </w:rPr>
      </w:pPr>
      <w:r w:rsidRPr="00E478F8">
        <w:rPr>
          <w:rFonts w:ascii="Arial" w:eastAsiaTheme="minorEastAsia" w:hAnsi="Arial" w:cs="Arial"/>
        </w:rPr>
        <w:t xml:space="preserve">Para auferir o valor aportado no fundo de investimento quanto a sua posição em relação </w:t>
      </w:r>
      <w:proofErr w:type="gramStart"/>
      <w:r w:rsidRPr="00E478F8">
        <w:rPr>
          <w:rFonts w:ascii="Arial" w:eastAsiaTheme="minorEastAsia" w:hAnsi="Arial" w:cs="Arial"/>
        </w:rPr>
        <w:t>a</w:t>
      </w:r>
      <w:proofErr w:type="gramEnd"/>
      <w:r w:rsidRPr="00E478F8">
        <w:rPr>
          <w:rFonts w:ascii="Arial" w:eastAsiaTheme="minorEastAsia" w:hAnsi="Arial" w:cs="Arial"/>
        </w:rPr>
        <w:t xml:space="preserve"> quantidade de cotas, calcula-se:</w:t>
      </w:r>
    </w:p>
    <w:p w:rsidR="00280B17" w:rsidRPr="00E478F8" w:rsidRDefault="006F0DF4" w:rsidP="00E478F8">
      <w:pPr>
        <w:spacing w:before="240" w:line="276" w:lineRule="auto"/>
        <w:ind w:left="-284" w:right="-568"/>
        <w:jc w:val="both"/>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atual</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cota</m:t>
              </m:r>
            </m:sub>
          </m:sSub>
          <m:r>
            <w:rPr>
              <w:rFonts w:ascii="Cambria Math" w:eastAsiaTheme="minorEastAsia" w:hAnsi="Cambria Math" w:cs="Arial"/>
            </w:rPr>
            <m:t>*Q</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cotas</m:t>
              </m:r>
            </m:sub>
          </m:sSub>
        </m:oMath>
      </m:oMathPara>
    </w:p>
    <w:p w:rsidR="00280B17" w:rsidRPr="00E478F8" w:rsidRDefault="00280B17" w:rsidP="00E478F8">
      <w:pPr>
        <w:spacing w:before="240" w:line="276" w:lineRule="auto"/>
        <w:ind w:left="-284" w:right="-568"/>
        <w:jc w:val="both"/>
        <w:rPr>
          <w:rFonts w:ascii="Arial" w:eastAsiaTheme="minorEastAsia" w:hAnsi="Arial" w:cs="Arial"/>
        </w:rPr>
      </w:pPr>
      <w:r w:rsidRPr="00E478F8">
        <w:rPr>
          <w:rFonts w:ascii="Arial" w:eastAsiaTheme="minorEastAsia" w:hAnsi="Arial" w:cs="Arial"/>
        </w:rPr>
        <w:t>Onde:</w:t>
      </w:r>
    </w:p>
    <w:p w:rsidR="00280B17" w:rsidRPr="00E478F8" w:rsidRDefault="006F0DF4" w:rsidP="00E478F8">
      <w:pPr>
        <w:spacing w:before="240" w:line="276" w:lineRule="auto"/>
        <w:ind w:left="-284" w:right="-568"/>
        <w:jc w:val="both"/>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atual</m:t>
            </m:r>
          </m:sub>
        </m:sSub>
      </m:oMath>
      <w:r w:rsidR="00280B17" w:rsidRPr="00E478F8">
        <w:rPr>
          <w:rFonts w:ascii="Arial" w:eastAsiaTheme="minorEastAsia" w:hAnsi="Arial" w:cs="Arial"/>
        </w:rPr>
        <w:t xml:space="preserve"> : valor atual do investimento</w:t>
      </w:r>
    </w:p>
    <w:p w:rsidR="00280B17" w:rsidRPr="00E478F8" w:rsidRDefault="006F0DF4" w:rsidP="00E478F8">
      <w:pPr>
        <w:spacing w:before="240" w:line="276" w:lineRule="auto"/>
        <w:ind w:left="-284" w:right="-568"/>
        <w:jc w:val="both"/>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cota</m:t>
            </m:r>
          </m:sub>
        </m:sSub>
      </m:oMath>
      <w:r w:rsidR="00280B17" w:rsidRPr="00E478F8">
        <w:rPr>
          <w:rFonts w:ascii="Arial" w:eastAsiaTheme="minorEastAsia" w:hAnsi="Arial" w:cs="Arial"/>
        </w:rPr>
        <w:t xml:space="preserve"> : valor da cota no dia</w:t>
      </w:r>
    </w:p>
    <w:p w:rsidR="00280B17" w:rsidRPr="00E478F8" w:rsidRDefault="00280B17" w:rsidP="00E478F8">
      <w:pPr>
        <w:spacing w:before="240" w:line="276" w:lineRule="auto"/>
        <w:ind w:left="-284" w:right="-568"/>
        <w:jc w:val="both"/>
        <w:rPr>
          <w:rFonts w:ascii="Arial" w:eastAsiaTheme="minorEastAsia" w:hAnsi="Arial" w:cs="Arial"/>
        </w:rPr>
      </w:pPr>
      <m:oMath>
        <m:r>
          <w:rPr>
            <w:rFonts w:ascii="Cambria Math" w:eastAsiaTheme="minorEastAsia" w:hAnsi="Cambria Math" w:cs="Arial"/>
          </w:rPr>
          <m:t>Q</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cotas</m:t>
            </m:r>
          </m:sub>
        </m:sSub>
      </m:oMath>
      <w:r w:rsidRPr="00E478F8">
        <w:rPr>
          <w:rFonts w:ascii="Arial" w:eastAsiaTheme="minorEastAsia" w:hAnsi="Arial" w:cs="Arial"/>
        </w:rPr>
        <w:t xml:space="preserve"> : quantidade de cotas adquiridas mediante aporte no fundo de investimento</w:t>
      </w:r>
    </w:p>
    <w:p w:rsidR="00280B17" w:rsidRPr="00E478F8" w:rsidRDefault="00280B17" w:rsidP="00E478F8">
      <w:pPr>
        <w:spacing w:before="240" w:line="276" w:lineRule="auto"/>
        <w:ind w:left="-284" w:right="-568"/>
        <w:jc w:val="both"/>
        <w:rPr>
          <w:rFonts w:ascii="Arial" w:eastAsiaTheme="minorEastAsia" w:hAnsi="Arial" w:cs="Arial"/>
          <w:i/>
        </w:rPr>
      </w:pPr>
      <w:r w:rsidRPr="00E478F8">
        <w:rPr>
          <w:rFonts w:ascii="Arial" w:eastAsiaTheme="minorEastAsia" w:hAnsi="Arial" w:cs="Arial"/>
        </w:rPr>
        <w:t xml:space="preserve">Em caso de fundos de investimento imobiliários (FII), onde consta ao menos uma negociação de compra e venda no mercado secundário através de seu </w:t>
      </w:r>
      <w:proofErr w:type="spellStart"/>
      <w:r w:rsidRPr="00E478F8">
        <w:rPr>
          <w:rFonts w:ascii="Arial" w:eastAsiaTheme="minorEastAsia" w:hAnsi="Arial" w:cs="Arial"/>
          <w:i/>
        </w:rPr>
        <w:t>ticker</w:t>
      </w:r>
      <w:proofErr w:type="spellEnd"/>
      <w:r w:rsidRPr="00E478F8">
        <w:rPr>
          <w:rFonts w:ascii="Arial" w:eastAsiaTheme="minorEastAsia" w:hAnsi="Arial" w:cs="Arial"/>
          <w:i/>
        </w:rPr>
        <w:t xml:space="preserve">; </w:t>
      </w:r>
      <w:r w:rsidRPr="00E478F8">
        <w:rPr>
          <w:rFonts w:ascii="Arial" w:eastAsiaTheme="minorEastAsia" w:hAnsi="Arial" w:cs="Arial"/>
        </w:rPr>
        <w:t xml:space="preserve">esse será calculado através do valor de mercado divulgado no site do </w:t>
      </w:r>
      <w:r w:rsidRPr="00E478F8">
        <w:rPr>
          <w:rFonts w:ascii="Arial" w:hAnsi="Arial" w:cs="Arial"/>
        </w:rPr>
        <w:t>BM&amp;FBOVESPA; caso contrário, será calculado a valor de cota, através de divulgado no site da Comissão de Valores Mobiliários – CVM.</w:t>
      </w:r>
    </w:p>
    <w:p w:rsidR="00280B17" w:rsidRPr="00E478F8" w:rsidRDefault="00280B17" w:rsidP="00E478F8">
      <w:pPr>
        <w:spacing w:before="240" w:line="276" w:lineRule="auto"/>
        <w:ind w:left="-284" w:right="-568"/>
        <w:jc w:val="both"/>
        <w:rPr>
          <w:rFonts w:ascii="Arial" w:eastAsiaTheme="minorEastAsia" w:hAnsi="Arial" w:cs="Arial"/>
        </w:rPr>
      </w:pPr>
    </w:p>
    <w:p w:rsidR="00280B17" w:rsidRPr="00F8600B" w:rsidRDefault="00280B17" w:rsidP="00F8600B">
      <w:pPr>
        <w:pStyle w:val="Ttulo3"/>
        <w:spacing w:after="240" w:line="276" w:lineRule="auto"/>
        <w:ind w:left="-284" w:right="-568" w:firstLine="0"/>
        <w:jc w:val="both"/>
        <w:rPr>
          <w:rFonts w:ascii="Arial" w:hAnsi="Arial" w:cs="Arial"/>
          <w:color w:val="auto"/>
          <w:sz w:val="22"/>
          <w:szCs w:val="22"/>
        </w:rPr>
      </w:pPr>
      <w:bookmarkStart w:id="121" w:name="_Toc497213371"/>
      <w:r w:rsidRPr="00F8600B">
        <w:rPr>
          <w:rFonts w:ascii="Arial" w:hAnsi="Arial" w:cs="Arial"/>
          <w:color w:val="auto"/>
          <w:sz w:val="22"/>
          <w:szCs w:val="22"/>
        </w:rPr>
        <w:t>TÍTULOS PRIVADOS</w:t>
      </w:r>
      <w:bookmarkEnd w:id="121"/>
    </w:p>
    <w:p w:rsidR="00280B17" w:rsidRPr="00E478F8" w:rsidRDefault="00280B17" w:rsidP="00E478F8">
      <w:pPr>
        <w:spacing w:line="276" w:lineRule="auto"/>
        <w:ind w:left="-284" w:right="-568"/>
        <w:jc w:val="both"/>
        <w:rPr>
          <w:rFonts w:ascii="Arial" w:hAnsi="Arial" w:cs="Arial"/>
        </w:rPr>
      </w:pPr>
      <w:r w:rsidRPr="00E478F8">
        <w:rPr>
          <w:rFonts w:ascii="Arial" w:hAnsi="Arial" w:cs="Arial"/>
        </w:rPr>
        <w:t>Título privados são títulos emitidos por empresas privadas visando à captação de recursos.</w:t>
      </w:r>
    </w:p>
    <w:p w:rsidR="00280B17" w:rsidRPr="00E478F8" w:rsidRDefault="00280B17" w:rsidP="00E478F8">
      <w:pPr>
        <w:spacing w:line="276" w:lineRule="auto"/>
        <w:ind w:left="-284" w:right="-568"/>
        <w:jc w:val="both"/>
        <w:rPr>
          <w:rFonts w:ascii="Arial" w:hAnsi="Arial" w:cs="Arial"/>
        </w:rPr>
      </w:pPr>
      <w:r w:rsidRPr="00E478F8">
        <w:rPr>
          <w:rFonts w:ascii="Arial" w:hAnsi="Arial" w:cs="Arial"/>
        </w:rPr>
        <w:lastRenderedPageBreak/>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E478F8">
        <w:rPr>
          <w:rFonts w:ascii="Arial" w:hAnsi="Arial" w:cs="Arial"/>
          <w:i/>
        </w:rPr>
        <w:t>spread</w:t>
      </w:r>
      <w:r w:rsidRPr="00E478F8">
        <w:rPr>
          <w:rFonts w:ascii="Arial" w:hAnsi="Arial" w:cs="Arial"/>
        </w:rPr>
        <w:t xml:space="preserve"> da natureza da operação. Para as operações compromissadas negociadas com liquidez diária, a marcação a mercado será realizada com base na taxa de revenda/recompra na data.</w:t>
      </w:r>
    </w:p>
    <w:p w:rsidR="00280B17" w:rsidRPr="00E478F8" w:rsidRDefault="00280B17" w:rsidP="00E478F8">
      <w:pPr>
        <w:spacing w:line="276" w:lineRule="auto"/>
        <w:ind w:left="-284" w:right="-568"/>
        <w:jc w:val="both"/>
        <w:rPr>
          <w:rFonts w:ascii="Arial" w:hAnsi="Arial" w:cs="Arial"/>
        </w:rPr>
      </w:pPr>
      <w:r w:rsidRPr="00E478F8">
        <w:rPr>
          <w:rFonts w:ascii="Arial" w:hAnsi="Arial" w:cs="Arial"/>
        </w:rPr>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rsidR="00280B17" w:rsidRPr="00E478F8" w:rsidRDefault="00280B17" w:rsidP="00E478F8">
      <w:pPr>
        <w:spacing w:line="276" w:lineRule="auto"/>
        <w:ind w:left="-284" w:right="-568"/>
        <w:jc w:val="both"/>
        <w:rPr>
          <w:rFonts w:ascii="Arial" w:hAnsi="Arial" w:cs="Arial"/>
        </w:rPr>
      </w:pPr>
      <w:r w:rsidRPr="00E478F8">
        <w:rPr>
          <w:rFonts w:ascii="Arial" w:hAnsi="Arial" w:cs="Arial"/>
        </w:rPr>
        <w:t xml:space="preserve">Os CDBs pré-fixados são títulos negociados com ágio/deságio em relação à curva de juros em reais. A marcação do CDB é realizada descontando o seu valor futuro pela taxa pré-fixada de mercado acrescida do </w:t>
      </w:r>
      <w:r w:rsidRPr="00E478F8">
        <w:rPr>
          <w:rFonts w:ascii="Arial" w:hAnsi="Arial" w:cs="Arial"/>
          <w:i/>
        </w:rPr>
        <w:t>spread</w:t>
      </w:r>
      <w:r w:rsidRPr="00E478F8">
        <w:rPr>
          <w:rFonts w:ascii="Arial" w:hAnsi="Arial" w:cs="Arial"/>
        </w:rPr>
        <w:t xml:space="preserve"> definido de acordo com as bandas de taxas referentes ao prazo da operação e rating do emissor.</w:t>
      </w:r>
    </w:p>
    <w:p w:rsidR="00280B17" w:rsidRDefault="00280B17" w:rsidP="00E478F8">
      <w:pPr>
        <w:spacing w:line="276" w:lineRule="auto"/>
        <w:ind w:left="-284" w:right="-568"/>
        <w:jc w:val="both"/>
        <w:rPr>
          <w:rFonts w:ascii="Arial" w:hAnsi="Arial" w:cs="Arial"/>
        </w:rPr>
      </w:pPr>
      <w:r w:rsidRPr="00E478F8">
        <w:rPr>
          <w:rFonts w:ascii="Arial" w:hAnsi="Arial" w:cs="Arial"/>
        </w:rPr>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E478F8">
        <w:rPr>
          <w:rFonts w:ascii="Arial" w:hAnsi="Arial" w:cs="Arial"/>
          <w:i/>
        </w:rPr>
        <w:t>spread</w:t>
      </w:r>
      <w:r w:rsidRPr="00E478F8">
        <w:rPr>
          <w:rFonts w:ascii="Arial" w:hAnsi="Arial" w:cs="Arial"/>
        </w:rPr>
        <w:t xml:space="preserve"> contratado na data de emissão do papel. A marcação do CDB é realizada descontando o seu valor futuro projetado pela taxa pré-fixada de mercado acrescida do spread definido de acordo com as faixas de taxas em vigor.</w:t>
      </w:r>
    </w:p>
    <w:p w:rsidR="00F8600B" w:rsidRPr="00E478F8" w:rsidRDefault="00F8600B" w:rsidP="00E478F8">
      <w:pPr>
        <w:spacing w:line="276" w:lineRule="auto"/>
        <w:ind w:left="-284" w:right="-568"/>
        <w:jc w:val="both"/>
        <w:rPr>
          <w:rFonts w:ascii="Arial" w:hAnsi="Arial" w:cs="Arial"/>
        </w:rPr>
      </w:pPr>
    </w:p>
    <w:p w:rsidR="00280B17" w:rsidRPr="00F8600B" w:rsidRDefault="00280B17" w:rsidP="00F8600B">
      <w:pPr>
        <w:pStyle w:val="Ttulo3"/>
        <w:spacing w:after="240" w:line="276" w:lineRule="auto"/>
        <w:ind w:left="-284" w:right="-568" w:firstLine="0"/>
        <w:rPr>
          <w:rFonts w:ascii="Arial" w:hAnsi="Arial" w:cs="Arial"/>
          <w:color w:val="auto"/>
          <w:sz w:val="22"/>
          <w:szCs w:val="22"/>
        </w:rPr>
      </w:pPr>
      <w:bookmarkStart w:id="122" w:name="_Toc497213372"/>
      <w:r w:rsidRPr="00F8600B">
        <w:rPr>
          <w:rFonts w:ascii="Arial" w:hAnsi="Arial" w:cs="Arial"/>
          <w:color w:val="auto"/>
          <w:sz w:val="22"/>
          <w:szCs w:val="22"/>
        </w:rPr>
        <w:t>POUPANÇA</w:t>
      </w:r>
      <w:bookmarkEnd w:id="122"/>
    </w:p>
    <w:p w:rsidR="00280B17" w:rsidRDefault="00280B17" w:rsidP="00E478F8">
      <w:pPr>
        <w:spacing w:after="240" w:line="276" w:lineRule="auto"/>
        <w:ind w:left="-284" w:right="-568"/>
        <w:jc w:val="both"/>
        <w:rPr>
          <w:rFonts w:ascii="Arial" w:hAnsi="Arial" w:cs="Arial"/>
        </w:rPr>
      </w:pPr>
      <w:r w:rsidRPr="00E478F8">
        <w:rPr>
          <w:rFonts w:ascii="Arial" w:hAnsi="Arial" w:cs="Arial"/>
        </w:rPr>
        <w:t xml:space="preserve">Para método de apuração para os investimentos em depósitos de poupança, calcula-se a taxa referencial usada no dia do depósito. Se a Selic estiver em 8,5% ao ano ou menos do que isso, a poupança irá render 70% da Selic mais a TR. Já no caso da Selic ficar acima de 8,5% ao ano, a rentabilidade é </w:t>
      </w:r>
      <w:proofErr w:type="gramStart"/>
      <w:r w:rsidRPr="00E478F8">
        <w:rPr>
          <w:rFonts w:ascii="Arial" w:hAnsi="Arial" w:cs="Arial"/>
        </w:rPr>
        <w:t>composta</w:t>
      </w:r>
      <w:proofErr w:type="gramEnd"/>
      <w:r w:rsidRPr="00E478F8">
        <w:rPr>
          <w:rFonts w:ascii="Arial" w:hAnsi="Arial" w:cs="Arial"/>
        </w:rPr>
        <w:t xml:space="preserve"> pela TR mais 0,5% ao mês.</w:t>
      </w:r>
    </w:p>
    <w:p w:rsidR="00F8600B" w:rsidRPr="00E478F8" w:rsidRDefault="00F8600B" w:rsidP="00E478F8">
      <w:pPr>
        <w:spacing w:after="240" w:line="276" w:lineRule="auto"/>
        <w:ind w:left="-284" w:right="-568"/>
        <w:jc w:val="both"/>
        <w:rPr>
          <w:rFonts w:ascii="Arial" w:hAnsi="Arial" w:cs="Arial"/>
        </w:rPr>
      </w:pPr>
    </w:p>
    <w:p w:rsidR="00280B17" w:rsidRPr="00E478F8" w:rsidRDefault="00280B17" w:rsidP="00E478F8">
      <w:pPr>
        <w:pStyle w:val="Ttulo2"/>
      </w:pPr>
      <w:bookmarkStart w:id="123" w:name="_Toc497213373"/>
      <w:r w:rsidRPr="00E478F8">
        <w:t>FONTES PRIMÁRIAS DE INFORMAÇÕES</w:t>
      </w:r>
      <w:bookmarkEnd w:id="123"/>
    </w:p>
    <w:p w:rsidR="00280B17" w:rsidRPr="00E478F8" w:rsidRDefault="00280B17" w:rsidP="00E478F8">
      <w:pPr>
        <w:spacing w:line="276" w:lineRule="auto"/>
        <w:ind w:left="-284" w:right="-568"/>
        <w:jc w:val="both"/>
        <w:rPr>
          <w:rFonts w:ascii="Arial" w:hAnsi="Arial" w:cs="Arial"/>
        </w:rPr>
      </w:pPr>
      <w:r w:rsidRPr="00E478F8">
        <w:rPr>
          <w:rFonts w:ascii="Arial" w:hAnsi="Arial" w:cs="Arial"/>
        </w:rPr>
        <w:t>Como os procedimentos de marcação a mercado são diários, como norma e sempre que possível, adotam-se preços e cotações das seguintes fontes:</w:t>
      </w:r>
    </w:p>
    <w:p w:rsidR="00280B17" w:rsidRPr="00E478F8" w:rsidRDefault="00280B17" w:rsidP="00E478F8">
      <w:pPr>
        <w:pStyle w:val="PargrafodaLista"/>
        <w:numPr>
          <w:ilvl w:val="0"/>
          <w:numId w:val="24"/>
        </w:numPr>
        <w:spacing w:line="276" w:lineRule="auto"/>
        <w:ind w:left="-284" w:right="-568"/>
        <w:jc w:val="both"/>
        <w:rPr>
          <w:rFonts w:ascii="Arial" w:hAnsi="Arial" w:cs="Arial"/>
          <w:color w:val="auto"/>
          <w:sz w:val="22"/>
        </w:rPr>
      </w:pPr>
      <w:r w:rsidRPr="00E478F8">
        <w:rPr>
          <w:rFonts w:ascii="Arial" w:hAnsi="Arial" w:cs="Arial"/>
          <w:color w:val="auto"/>
          <w:sz w:val="22"/>
        </w:rPr>
        <w:t>Títulos Públicos Federais e debentures: Taxas Indicativas da ANBIMA – Associação Brasileira das Entidades dos Mercados Financeiros e de Capitais (http://www.anbima.com.br/pt_br/index.htm);</w:t>
      </w:r>
    </w:p>
    <w:p w:rsidR="00280B17" w:rsidRPr="00E478F8" w:rsidRDefault="00280B17" w:rsidP="00E478F8">
      <w:pPr>
        <w:pStyle w:val="PargrafodaLista"/>
        <w:spacing w:line="276" w:lineRule="auto"/>
        <w:ind w:left="-284" w:right="-568"/>
        <w:jc w:val="both"/>
        <w:rPr>
          <w:rFonts w:ascii="Arial" w:hAnsi="Arial" w:cs="Arial"/>
          <w:color w:val="auto"/>
          <w:sz w:val="22"/>
        </w:rPr>
      </w:pPr>
    </w:p>
    <w:p w:rsidR="00280B17" w:rsidRPr="00E478F8" w:rsidRDefault="00280B17" w:rsidP="00E478F8">
      <w:pPr>
        <w:pStyle w:val="PargrafodaLista"/>
        <w:numPr>
          <w:ilvl w:val="0"/>
          <w:numId w:val="24"/>
        </w:numPr>
        <w:spacing w:line="276" w:lineRule="auto"/>
        <w:ind w:left="-284" w:right="-568"/>
        <w:jc w:val="both"/>
        <w:rPr>
          <w:rFonts w:ascii="Arial" w:hAnsi="Arial" w:cs="Arial"/>
          <w:color w:val="auto"/>
          <w:sz w:val="22"/>
        </w:rPr>
      </w:pPr>
      <w:r w:rsidRPr="00E478F8">
        <w:rPr>
          <w:rFonts w:ascii="Arial" w:hAnsi="Arial" w:cs="Arial"/>
          <w:color w:val="auto"/>
          <w:sz w:val="22"/>
        </w:rPr>
        <w:t>Cotas de fundos de investimentos: Comissão de Valores Mobiliários – CVM (http://www.cvm.gov.br/);</w:t>
      </w:r>
    </w:p>
    <w:p w:rsidR="00280B17" w:rsidRPr="00E478F8" w:rsidRDefault="00280B17" w:rsidP="00E478F8">
      <w:pPr>
        <w:pStyle w:val="PargrafodaLista"/>
        <w:spacing w:line="276" w:lineRule="auto"/>
        <w:ind w:left="-284" w:right="-568"/>
        <w:jc w:val="both"/>
        <w:rPr>
          <w:rFonts w:ascii="Arial" w:hAnsi="Arial" w:cs="Arial"/>
          <w:color w:val="auto"/>
          <w:sz w:val="22"/>
        </w:rPr>
      </w:pPr>
    </w:p>
    <w:p w:rsidR="00280B17" w:rsidRPr="00E478F8" w:rsidRDefault="00280B17" w:rsidP="00E478F8">
      <w:pPr>
        <w:pStyle w:val="PargrafodaLista"/>
        <w:numPr>
          <w:ilvl w:val="0"/>
          <w:numId w:val="24"/>
        </w:numPr>
        <w:spacing w:line="276" w:lineRule="auto"/>
        <w:ind w:left="-284" w:right="-568"/>
        <w:jc w:val="both"/>
        <w:rPr>
          <w:rFonts w:ascii="Arial" w:hAnsi="Arial" w:cs="Arial"/>
          <w:color w:val="auto"/>
          <w:sz w:val="22"/>
        </w:rPr>
      </w:pPr>
      <w:r w:rsidRPr="00E478F8">
        <w:rPr>
          <w:rFonts w:ascii="Arial" w:hAnsi="Arial" w:cs="Arial"/>
          <w:color w:val="auto"/>
          <w:sz w:val="22"/>
        </w:rPr>
        <w:t xml:space="preserve">Ações, opções sobre ações líquidas e termo de ações: BM&amp;FBOVESPA (http://www.bmfbovespa.com.br/pt_br/); </w:t>
      </w:r>
      <w:proofErr w:type="gramStart"/>
      <w:r w:rsidRPr="00E478F8">
        <w:rPr>
          <w:rFonts w:ascii="Arial" w:hAnsi="Arial" w:cs="Arial"/>
          <w:color w:val="auto"/>
          <w:sz w:val="22"/>
        </w:rPr>
        <w:t>e</w:t>
      </w:r>
      <w:proofErr w:type="gramEnd"/>
    </w:p>
    <w:p w:rsidR="00280B17" w:rsidRPr="00E478F8" w:rsidRDefault="00280B17" w:rsidP="00E478F8">
      <w:pPr>
        <w:pStyle w:val="PargrafodaLista"/>
        <w:spacing w:line="276" w:lineRule="auto"/>
        <w:ind w:left="-284" w:right="-568"/>
        <w:jc w:val="both"/>
        <w:rPr>
          <w:rFonts w:ascii="Arial" w:hAnsi="Arial" w:cs="Arial"/>
          <w:color w:val="auto"/>
          <w:sz w:val="22"/>
        </w:rPr>
      </w:pPr>
    </w:p>
    <w:p w:rsidR="00280B17" w:rsidRPr="00E478F8" w:rsidRDefault="00280B17" w:rsidP="00E478F8">
      <w:pPr>
        <w:pStyle w:val="PargrafodaLista"/>
        <w:numPr>
          <w:ilvl w:val="0"/>
          <w:numId w:val="24"/>
        </w:numPr>
        <w:spacing w:line="276" w:lineRule="auto"/>
        <w:ind w:left="-284" w:right="-568"/>
        <w:jc w:val="both"/>
        <w:rPr>
          <w:rFonts w:ascii="Arial" w:hAnsi="Arial" w:cs="Arial"/>
          <w:color w:val="auto"/>
          <w:sz w:val="22"/>
        </w:rPr>
      </w:pPr>
      <w:r w:rsidRPr="00E478F8">
        <w:rPr>
          <w:rFonts w:ascii="Arial" w:hAnsi="Arial" w:cs="Arial"/>
          <w:color w:val="auto"/>
          <w:sz w:val="22"/>
        </w:rPr>
        <w:t>Certificado de Depósito Bancário – CDB: CETIP (</w:t>
      </w:r>
      <w:proofErr w:type="gramStart"/>
      <w:r w:rsidRPr="00E478F8">
        <w:rPr>
          <w:rFonts w:ascii="Arial" w:hAnsi="Arial" w:cs="Arial"/>
          <w:color w:val="auto"/>
          <w:sz w:val="22"/>
        </w:rPr>
        <w:t>https</w:t>
      </w:r>
      <w:proofErr w:type="gramEnd"/>
      <w:r w:rsidRPr="00E478F8">
        <w:rPr>
          <w:rFonts w:ascii="Arial" w:hAnsi="Arial" w:cs="Arial"/>
          <w:color w:val="auto"/>
          <w:sz w:val="22"/>
        </w:rPr>
        <w:t>://www.cetip.com.br/).</w:t>
      </w:r>
    </w:p>
    <w:p w:rsidR="00280B17" w:rsidRPr="00E478F8" w:rsidRDefault="00280B17" w:rsidP="00E478F8">
      <w:pPr>
        <w:spacing w:line="276" w:lineRule="auto"/>
        <w:ind w:left="-284" w:right="-568"/>
        <w:jc w:val="both"/>
        <w:rPr>
          <w:rFonts w:ascii="Arial" w:hAnsi="Arial" w:cs="Arial"/>
        </w:rPr>
      </w:pPr>
      <w:r w:rsidRPr="00E478F8">
        <w:rPr>
          <w:rFonts w:ascii="Arial" w:hAnsi="Arial" w:cs="Arial"/>
        </w:rPr>
        <w:br w:type="page"/>
      </w:r>
    </w:p>
    <w:p w:rsidR="00280B17" w:rsidRPr="00F8600B" w:rsidRDefault="00280B17" w:rsidP="00F8600B">
      <w:pPr>
        <w:pStyle w:val="Ttulo1"/>
        <w:spacing w:after="240" w:line="276" w:lineRule="auto"/>
        <w:ind w:left="-284" w:right="-568" w:firstLine="0"/>
        <w:rPr>
          <w:rFonts w:ascii="Arial" w:hAnsi="Arial" w:cs="Arial"/>
          <w:color w:val="auto"/>
          <w:sz w:val="22"/>
          <w:szCs w:val="22"/>
        </w:rPr>
      </w:pPr>
      <w:bookmarkStart w:id="124" w:name="_Toc497213374"/>
      <w:r w:rsidRPr="00F8600B">
        <w:rPr>
          <w:rFonts w:ascii="Arial" w:hAnsi="Arial" w:cs="Arial"/>
          <w:color w:val="auto"/>
          <w:sz w:val="22"/>
          <w:szCs w:val="22"/>
        </w:rPr>
        <w:lastRenderedPageBreak/>
        <w:t>C</w:t>
      </w:r>
      <w:bookmarkEnd w:id="113"/>
      <w:r w:rsidRPr="00F8600B">
        <w:rPr>
          <w:rFonts w:ascii="Arial" w:hAnsi="Arial" w:cs="Arial"/>
          <w:color w:val="auto"/>
          <w:sz w:val="22"/>
          <w:szCs w:val="22"/>
        </w:rPr>
        <w:t>ONTROLES INTERNOS</w:t>
      </w:r>
      <w:bookmarkEnd w:id="114"/>
      <w:bookmarkEnd w:id="115"/>
      <w:bookmarkEnd w:id="124"/>
    </w:p>
    <w:p w:rsidR="00280B17" w:rsidRPr="00E478F8" w:rsidRDefault="00280B17" w:rsidP="00E478F8">
      <w:pPr>
        <w:spacing w:beforeLines="120" w:before="288" w:after="240" w:line="276" w:lineRule="auto"/>
        <w:ind w:left="-284" w:right="-568"/>
        <w:jc w:val="both"/>
        <w:rPr>
          <w:rFonts w:ascii="Arial" w:hAnsi="Arial" w:cs="Arial"/>
          <w:bCs/>
        </w:rPr>
      </w:pPr>
      <w:r w:rsidRPr="00E478F8">
        <w:rPr>
          <w:rFonts w:ascii="Arial" w:hAnsi="Arial" w:cs="Arial"/>
          <w:bCs/>
        </w:rPr>
        <w:t>Antes das aplicações, a gestão do RPPS deverá verificar, no mínimo, aspectos como: enquadramento do produto quanto às exigências legais, seu histórico de rentabilidade, riscos e perspectiva de rentabilidade satisfatória no horizonte de tempo.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Todos os ativos e valores mobiliários adquiridos pelo RPPS deverão ser registrados nos Sistemas de Liquidação e Custódia: SELIC, CETIP ou Câmaras de Compensação autorizadas pela CVM.</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 gestão do RPPS sempre fará a comparação dos investimentos com a sua meta atuarial para identificar aqueles com rentabilidade insatisfatória, ou inadequação ao cenário econômico, visando possíveis indicações de solicitação de resgate.</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Compete ao Comitê de Investimentos, orientar a aplicação dos recursos financeiros e a operacionalização da Política de Investimentos do RPPS. Ainda dentro de suas atribuições, é de sua competência: </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I - garantir o cumprimento da legislação e da política de investimentos;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II - avaliar a conveniência e adequação dos investimentos;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III - monitorar o grau de risco dos investimentos;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IV - observar que a rentabilidade dos recursos esteja de acordo com o nível de risco assumido pela entidade;</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V - garantir a gestão ética e transparente dos recursos.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Sua atuação será pautada na avaliação das alternativas de investimentos com base nas expectativas quanto ao comportamento das variáveis econômicas e ficará limitada às determinações desta Política.</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São avaliados pelos responsáveis pela gestão dos recursos do INSTITUTO DE PREVIDÊNCIA SOCIAL DOS SERVIDORES MUNICIPAIS DE NOVA ALVORADA DO SUL, relatórios de acompanhamento das aplicações e operações de aquisição e venda de títulos, valores </w:t>
      </w:r>
      <w:r w:rsidRPr="00E478F8">
        <w:rPr>
          <w:rFonts w:ascii="Arial" w:hAnsi="Arial" w:cs="Arial"/>
          <w:bCs/>
        </w:rPr>
        <w:lastRenderedPageBreak/>
        <w:t>mobiliários e demais ativos alocados nos diversos segmentos de aplicação. Esse relatório será elaborado trimestralmente e terá como objetivo documentar e acompanhar a aplicação de seus recursos.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Os relatórios supracitados serão mantidos e colocados à disposição do Ministério da Previdência Social, Tribunal de Contas do Estado, Conselho Fiscal e de Administração e demais órgãos fiscalizadores.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Caberá ao comitê de investimentos do RPPS acompanhar a Política de Investimentos e sua aderência legal analisando a efetiva aplicação dos seus dispositivos.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As operações realizadas no mercado secundário (compra/venda de títulos públicos) deverão ser realizadas através de plataforma eletrônica autorizada, </w:t>
      </w:r>
      <w:proofErr w:type="spellStart"/>
      <w:r w:rsidRPr="00E478F8">
        <w:rPr>
          <w:rFonts w:ascii="Arial" w:hAnsi="Arial" w:cs="Arial"/>
          <w:bCs/>
        </w:rPr>
        <w:t>Sisbex</w:t>
      </w:r>
      <w:proofErr w:type="spellEnd"/>
      <w:r w:rsidRPr="00E478F8">
        <w:rPr>
          <w:rFonts w:ascii="Arial" w:hAnsi="Arial" w:cs="Arial"/>
          <w:bCs/>
        </w:rPr>
        <w:t xml:space="preserve"> da BM&amp;F e </w:t>
      </w:r>
      <w:proofErr w:type="spellStart"/>
      <w:proofErr w:type="gramStart"/>
      <w:r w:rsidRPr="00E478F8">
        <w:rPr>
          <w:rFonts w:ascii="Arial" w:hAnsi="Arial" w:cs="Arial"/>
          <w:bCs/>
        </w:rPr>
        <w:t>CetipNet</w:t>
      </w:r>
      <w:proofErr w:type="spellEnd"/>
      <w:proofErr w:type="gramEnd"/>
      <w:r w:rsidRPr="00E478F8">
        <w:rPr>
          <w:rFonts w:ascii="Arial" w:hAnsi="Arial" w:cs="Arial"/>
          <w:bCs/>
        </w:rPr>
        <w:t xml:space="preserve"> da </w:t>
      </w:r>
      <w:proofErr w:type="spellStart"/>
      <w:r w:rsidRPr="00E478F8">
        <w:rPr>
          <w:rFonts w:ascii="Arial" w:hAnsi="Arial" w:cs="Arial"/>
          <w:bCs/>
        </w:rPr>
        <w:t>Cetip</w:t>
      </w:r>
      <w:proofErr w:type="spellEnd"/>
      <w:r w:rsidRPr="00E478F8">
        <w:rPr>
          <w:rFonts w:ascii="Arial" w:hAnsi="Arial" w:cs="Arial"/>
          <w:bCs/>
        </w:rPr>
        <w:t xml:space="preserve">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Dentro da vigência do contrato que o RPPS mantém com a empresa de consultoria de investimentos, está contemplada a consulta às oportunidades de investimentos a serem realizados no âmbito desta política de investimentos.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E, de forma organizada, remanejar a alocação inicial em momentos de alta (vendendo) ou baixa (comprando) com o objetivo de </w:t>
      </w:r>
      <w:proofErr w:type="spellStart"/>
      <w:r w:rsidRPr="00E478F8">
        <w:rPr>
          <w:rFonts w:ascii="Arial" w:hAnsi="Arial" w:cs="Arial"/>
          <w:bCs/>
        </w:rPr>
        <w:t>rebalancear</w:t>
      </w:r>
      <w:proofErr w:type="spellEnd"/>
      <w:r w:rsidRPr="00E478F8">
        <w:rPr>
          <w:rFonts w:ascii="Arial" w:hAnsi="Arial" w:cs="Arial"/>
          <w:bCs/>
        </w:rPr>
        <w:t xml:space="preserve"> sua carteira de investimentos. Três virtudes básicas de um bom investidor são fundamentais: disciplina, paciência e diversificação.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Além de estudar o regulamento e o prospecto dos fundos de investimentos, será feita uma análise do gestor/administrador e da taxa de administração cobrada, dentre outros critérios. Os investimentos serão constantemente avaliados através de acompanhamento de desempenho, da abertura da composição das carteiras e avaliações de ativos. </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lastRenderedPageBreak/>
        <w:t>As avaliações são feitas para orientar as definições de estratégias e as tomadas de decisões, de forma a aperfeiçoar o retorno da carteira e minimizar riscos.</w:t>
      </w:r>
    </w:p>
    <w:p w:rsidR="00280B17" w:rsidRPr="00E478F8" w:rsidRDefault="00280B17" w:rsidP="00E478F8">
      <w:pPr>
        <w:spacing w:line="276" w:lineRule="auto"/>
        <w:ind w:left="-284" w:right="-568"/>
        <w:rPr>
          <w:rFonts w:ascii="Arial" w:hAnsi="Arial" w:cs="Arial"/>
          <w:bCs/>
        </w:rPr>
      </w:pPr>
      <w:bookmarkStart w:id="125" w:name="_Toc490036564"/>
      <w:r w:rsidRPr="00E478F8">
        <w:rPr>
          <w:rFonts w:ascii="Arial" w:hAnsi="Arial" w:cs="Arial"/>
          <w:bCs/>
        </w:rPr>
        <w:br w:type="page"/>
      </w:r>
    </w:p>
    <w:p w:rsidR="00280B17" w:rsidRPr="00F8600B" w:rsidRDefault="00280B17" w:rsidP="00F8600B">
      <w:pPr>
        <w:pStyle w:val="Ttulo1"/>
        <w:spacing w:line="276" w:lineRule="auto"/>
        <w:ind w:left="-284" w:right="-568" w:firstLine="0"/>
        <w:rPr>
          <w:rFonts w:ascii="Arial" w:hAnsi="Arial" w:cs="Arial"/>
          <w:color w:val="auto"/>
          <w:sz w:val="22"/>
          <w:szCs w:val="22"/>
        </w:rPr>
      </w:pPr>
      <w:bookmarkStart w:id="126" w:name="_Toc497213375"/>
      <w:r w:rsidRPr="00F8600B">
        <w:rPr>
          <w:rFonts w:ascii="Arial" w:hAnsi="Arial" w:cs="Arial"/>
          <w:color w:val="auto"/>
          <w:sz w:val="22"/>
          <w:szCs w:val="22"/>
        </w:rPr>
        <w:lastRenderedPageBreak/>
        <w:t>DISPOSIÇÕES GERAIS</w:t>
      </w:r>
      <w:bookmarkEnd w:id="125"/>
      <w:bookmarkEnd w:id="126"/>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 presente Política de Investimentos poderá ser revista no curso de sua execução e monitorada no curto prazo, a contar da data de sua aprovação pelo órgão superior competente do RPPS, sendo que o prazo de validade compreenderá o ano de 2018.</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Reuniões extraordinárias junto ao Conselho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A comprovação da habilitação ocorrerá mediante o preenchimento dos campos específicos constantes do Demonstrativo da Política de Investimentos - DPIN e do Demonstrativo de Aplicações e Investimentos dos Recursos - DAIR. </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 xml:space="preserve">Ressalvadas situações especiais a serem avaliadas pelo Comitê de Investimentos do RPPS (tais como fundos fechados, fundos abertos com prazos de captação limitados), os fundos elegíveis para alocação deverão apresentar série histórica de, no mínimo, </w:t>
      </w:r>
      <w:proofErr w:type="gramStart"/>
      <w:r w:rsidRPr="00E478F8">
        <w:rPr>
          <w:rFonts w:ascii="Arial" w:hAnsi="Arial" w:cs="Arial"/>
          <w:bCs/>
        </w:rPr>
        <w:t>6</w:t>
      </w:r>
      <w:proofErr w:type="gramEnd"/>
      <w:r w:rsidRPr="00E478F8">
        <w:rPr>
          <w:rFonts w:ascii="Arial" w:hAnsi="Arial" w:cs="Arial"/>
          <w:bCs/>
        </w:rPr>
        <w:t xml:space="preserve"> (seis) meses, contados da data de início de funcionamento do fundo.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Casos omissos nesta Política de Investimentos remetem-se à Resolução CMN n° 3.922/2010 e suas alterações, e à Portaria MPS nº 519, de 24 de agosto de 2011.</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É parte integrante desta Política de Investimentos, cópia da Ata do órgão superior competente que aprova o presente instrumento, devidamente assinada por seus membros.</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Observação: Conforme Portaria MPS nº 440, de 09 de outubro de 2013, este documento deverá ser assinado: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t>Pelo representante da unidade gestora do RPPS __________________________________________________</w:t>
      </w:r>
    </w:p>
    <w:p w:rsidR="00280B17"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rPr>
        <w:lastRenderedPageBreak/>
        <w:t xml:space="preserve">Pelos responsáveis pela elaboração, aprovação e execução </w:t>
      </w:r>
      <w:r w:rsidR="00D755A1">
        <w:rPr>
          <w:rFonts w:ascii="Arial" w:hAnsi="Arial" w:cs="Arial"/>
          <w:bCs/>
        </w:rPr>
        <w:t>desta Política de Investimentos:</w:t>
      </w:r>
    </w:p>
    <w:p w:rsidR="00D755A1" w:rsidRDefault="00D755A1" w:rsidP="00D755A1">
      <w:pPr>
        <w:spacing w:beforeLines="120" w:before="288" w:after="0" w:line="240" w:lineRule="auto"/>
        <w:ind w:left="-284" w:right="-568"/>
        <w:jc w:val="center"/>
        <w:rPr>
          <w:rFonts w:ascii="Arial" w:hAnsi="Arial" w:cs="Arial"/>
          <w:bCs/>
        </w:rPr>
      </w:pPr>
      <w:r>
        <w:rPr>
          <w:rFonts w:ascii="Arial" w:hAnsi="Arial" w:cs="Arial"/>
          <w:bCs/>
        </w:rPr>
        <w:t>_________________________________</w:t>
      </w:r>
      <w:bookmarkStart w:id="127" w:name="_Toc497213376"/>
    </w:p>
    <w:p w:rsidR="00F8600B" w:rsidRPr="00D755A1" w:rsidRDefault="00280B17" w:rsidP="00D755A1">
      <w:pPr>
        <w:spacing w:beforeLines="120" w:before="288" w:after="0" w:line="240" w:lineRule="auto"/>
        <w:ind w:left="-284" w:right="-568"/>
        <w:jc w:val="center"/>
        <w:rPr>
          <w:rFonts w:ascii="Arial" w:hAnsi="Arial" w:cs="Arial"/>
          <w:bCs/>
        </w:rPr>
      </w:pPr>
      <w:r w:rsidRPr="00E478F8">
        <w:rPr>
          <w:rFonts w:ascii="Arial" w:hAnsi="Arial" w:cs="Arial"/>
          <w:b/>
        </w:rPr>
        <w:t xml:space="preserve">Amarildo do Prado </w:t>
      </w:r>
    </w:p>
    <w:p w:rsidR="00D755A1" w:rsidRDefault="00D755A1" w:rsidP="00D755A1">
      <w:pPr>
        <w:pStyle w:val="Ttulo1"/>
        <w:numPr>
          <w:ilvl w:val="0"/>
          <w:numId w:val="0"/>
        </w:numPr>
        <w:ind w:left="-284" w:right="-568" w:hanging="432"/>
        <w:rPr>
          <w:rFonts w:ascii="Arial" w:hAnsi="Arial" w:cs="Arial"/>
          <w:b w:val="0"/>
          <w:color w:val="auto"/>
          <w:sz w:val="22"/>
          <w:szCs w:val="22"/>
        </w:rPr>
      </w:pPr>
    </w:p>
    <w:p w:rsidR="00280B17" w:rsidRPr="00E478F8" w:rsidRDefault="00D755A1" w:rsidP="00D755A1">
      <w:pPr>
        <w:pStyle w:val="Ttulo1"/>
        <w:numPr>
          <w:ilvl w:val="0"/>
          <w:numId w:val="0"/>
        </w:numPr>
        <w:ind w:left="-284" w:right="-568" w:hanging="432"/>
        <w:jc w:val="center"/>
        <w:rPr>
          <w:rFonts w:ascii="Arial" w:hAnsi="Arial" w:cs="Arial"/>
          <w:b w:val="0"/>
          <w:color w:val="auto"/>
          <w:sz w:val="22"/>
          <w:szCs w:val="22"/>
        </w:rPr>
      </w:pPr>
      <w:r>
        <w:rPr>
          <w:rFonts w:ascii="Arial" w:hAnsi="Arial" w:cs="Arial"/>
          <w:b w:val="0"/>
          <w:color w:val="auto"/>
          <w:sz w:val="22"/>
          <w:szCs w:val="22"/>
        </w:rPr>
        <w:t>__</w:t>
      </w:r>
      <w:r w:rsidR="00280B17" w:rsidRPr="00E478F8">
        <w:rPr>
          <w:rFonts w:ascii="Arial" w:hAnsi="Arial" w:cs="Arial"/>
          <w:b w:val="0"/>
          <w:color w:val="auto"/>
          <w:sz w:val="22"/>
          <w:szCs w:val="22"/>
        </w:rPr>
        <w:t>__________________________</w:t>
      </w:r>
      <w:r>
        <w:rPr>
          <w:rFonts w:ascii="Arial" w:hAnsi="Arial" w:cs="Arial"/>
          <w:b w:val="0"/>
          <w:color w:val="auto"/>
          <w:sz w:val="22"/>
          <w:szCs w:val="22"/>
        </w:rPr>
        <w:t>_______</w:t>
      </w:r>
    </w:p>
    <w:p w:rsidR="00F8600B" w:rsidRDefault="00D755A1" w:rsidP="00D755A1">
      <w:pPr>
        <w:pStyle w:val="Ttulo1"/>
        <w:numPr>
          <w:ilvl w:val="0"/>
          <w:numId w:val="0"/>
        </w:numPr>
        <w:tabs>
          <w:tab w:val="left" w:pos="3360"/>
        </w:tabs>
        <w:ind w:left="-284" w:right="-568" w:hanging="432"/>
        <w:jc w:val="left"/>
        <w:rPr>
          <w:rFonts w:ascii="Arial" w:hAnsi="Arial" w:cs="Arial"/>
          <w:color w:val="auto"/>
          <w:sz w:val="22"/>
          <w:szCs w:val="22"/>
        </w:rPr>
      </w:pPr>
      <w:r>
        <w:rPr>
          <w:rFonts w:ascii="Arial" w:hAnsi="Arial" w:cs="Arial"/>
          <w:b w:val="0"/>
          <w:color w:val="auto"/>
          <w:sz w:val="22"/>
          <w:szCs w:val="22"/>
        </w:rPr>
        <w:tab/>
      </w:r>
      <w:r>
        <w:rPr>
          <w:rFonts w:ascii="Arial" w:hAnsi="Arial" w:cs="Arial"/>
          <w:b w:val="0"/>
          <w:color w:val="auto"/>
          <w:sz w:val="22"/>
          <w:szCs w:val="22"/>
        </w:rPr>
        <w:tab/>
      </w:r>
      <w:r w:rsidR="00280B17" w:rsidRPr="00D755A1">
        <w:rPr>
          <w:rFonts w:ascii="Arial" w:hAnsi="Arial" w:cs="Arial"/>
          <w:color w:val="auto"/>
          <w:sz w:val="22"/>
          <w:szCs w:val="22"/>
        </w:rPr>
        <w:t>Irene do Carmo</w:t>
      </w:r>
    </w:p>
    <w:p w:rsidR="00D755A1" w:rsidRPr="00D755A1" w:rsidRDefault="00D755A1" w:rsidP="00D755A1"/>
    <w:p w:rsidR="00280B17" w:rsidRPr="00E478F8" w:rsidRDefault="00D755A1" w:rsidP="00D755A1">
      <w:pPr>
        <w:pStyle w:val="Ttulo1"/>
        <w:numPr>
          <w:ilvl w:val="0"/>
          <w:numId w:val="0"/>
        </w:numPr>
        <w:ind w:right="-568"/>
        <w:jc w:val="center"/>
        <w:rPr>
          <w:rFonts w:ascii="Arial" w:hAnsi="Arial" w:cs="Arial"/>
          <w:b w:val="0"/>
          <w:color w:val="auto"/>
          <w:sz w:val="22"/>
          <w:szCs w:val="22"/>
        </w:rPr>
      </w:pPr>
      <w:r>
        <w:rPr>
          <w:rFonts w:ascii="Arial" w:hAnsi="Arial" w:cs="Arial"/>
          <w:b w:val="0"/>
          <w:color w:val="auto"/>
          <w:sz w:val="22"/>
          <w:szCs w:val="22"/>
        </w:rPr>
        <w:t>__________</w:t>
      </w:r>
      <w:r w:rsidR="00280B17" w:rsidRPr="00E478F8">
        <w:rPr>
          <w:rFonts w:ascii="Arial" w:hAnsi="Arial" w:cs="Arial"/>
          <w:b w:val="0"/>
          <w:color w:val="auto"/>
          <w:sz w:val="22"/>
          <w:szCs w:val="22"/>
        </w:rPr>
        <w:t>____</w:t>
      </w:r>
      <w:r>
        <w:rPr>
          <w:rFonts w:ascii="Arial" w:hAnsi="Arial" w:cs="Arial"/>
          <w:b w:val="0"/>
          <w:color w:val="auto"/>
          <w:sz w:val="22"/>
          <w:szCs w:val="22"/>
        </w:rPr>
        <w:t>_____________________</w:t>
      </w:r>
    </w:p>
    <w:p w:rsidR="00F8600B" w:rsidRPr="00D755A1" w:rsidRDefault="00280B17" w:rsidP="00D755A1">
      <w:pPr>
        <w:pStyle w:val="Ttulo1"/>
        <w:numPr>
          <w:ilvl w:val="0"/>
          <w:numId w:val="0"/>
        </w:numPr>
        <w:ind w:left="-284" w:right="-568" w:hanging="432"/>
        <w:jc w:val="center"/>
        <w:rPr>
          <w:rFonts w:ascii="Arial" w:hAnsi="Arial" w:cs="Arial"/>
          <w:color w:val="auto"/>
          <w:sz w:val="22"/>
          <w:szCs w:val="22"/>
        </w:rPr>
      </w:pPr>
      <w:proofErr w:type="spellStart"/>
      <w:r w:rsidRPr="00D755A1">
        <w:rPr>
          <w:rFonts w:ascii="Arial" w:hAnsi="Arial" w:cs="Arial"/>
          <w:color w:val="auto"/>
          <w:sz w:val="22"/>
          <w:szCs w:val="22"/>
        </w:rPr>
        <w:t>Ivonei</w:t>
      </w:r>
      <w:proofErr w:type="spellEnd"/>
      <w:r w:rsidRPr="00D755A1">
        <w:rPr>
          <w:rFonts w:ascii="Arial" w:hAnsi="Arial" w:cs="Arial"/>
          <w:color w:val="auto"/>
          <w:sz w:val="22"/>
          <w:szCs w:val="22"/>
        </w:rPr>
        <w:t xml:space="preserve"> Batista da Silva </w:t>
      </w:r>
    </w:p>
    <w:p w:rsidR="00D755A1" w:rsidRDefault="00280B17" w:rsidP="00D755A1">
      <w:pPr>
        <w:pStyle w:val="Ttulo1"/>
        <w:numPr>
          <w:ilvl w:val="0"/>
          <w:numId w:val="0"/>
        </w:numPr>
        <w:ind w:left="-284" w:right="-568" w:hanging="432"/>
        <w:jc w:val="center"/>
        <w:rPr>
          <w:rFonts w:ascii="Arial" w:hAnsi="Arial" w:cs="Arial"/>
          <w:b w:val="0"/>
          <w:color w:val="auto"/>
          <w:sz w:val="22"/>
          <w:szCs w:val="22"/>
        </w:rPr>
      </w:pPr>
      <w:r w:rsidRPr="00E478F8">
        <w:rPr>
          <w:rFonts w:ascii="Arial" w:hAnsi="Arial" w:cs="Arial"/>
          <w:b w:val="0"/>
          <w:color w:val="auto"/>
          <w:sz w:val="22"/>
          <w:szCs w:val="22"/>
        </w:rPr>
        <w:t xml:space="preserve">                                  </w:t>
      </w:r>
    </w:p>
    <w:p w:rsidR="00D755A1" w:rsidRPr="00D755A1" w:rsidRDefault="00280B17" w:rsidP="00D755A1">
      <w:pPr>
        <w:pStyle w:val="Ttulo1"/>
        <w:numPr>
          <w:ilvl w:val="0"/>
          <w:numId w:val="0"/>
        </w:numPr>
        <w:ind w:left="-284" w:right="-568" w:hanging="432"/>
        <w:jc w:val="center"/>
        <w:rPr>
          <w:rFonts w:ascii="Arial" w:hAnsi="Arial" w:cs="Arial"/>
          <w:b w:val="0"/>
          <w:color w:val="auto"/>
          <w:sz w:val="22"/>
          <w:szCs w:val="22"/>
        </w:rPr>
      </w:pPr>
      <w:r w:rsidRPr="00E478F8">
        <w:rPr>
          <w:rFonts w:ascii="Arial" w:hAnsi="Arial" w:cs="Arial"/>
          <w:b w:val="0"/>
          <w:color w:val="auto"/>
          <w:sz w:val="22"/>
          <w:szCs w:val="22"/>
        </w:rPr>
        <w:t>_______________________</w:t>
      </w:r>
      <w:r w:rsidR="00D755A1">
        <w:rPr>
          <w:rFonts w:ascii="Arial" w:hAnsi="Arial" w:cs="Arial"/>
          <w:b w:val="0"/>
          <w:color w:val="auto"/>
          <w:sz w:val="22"/>
          <w:szCs w:val="22"/>
        </w:rPr>
        <w:t>_____________________</w:t>
      </w:r>
    </w:p>
    <w:p w:rsidR="00D755A1" w:rsidRDefault="00280B17" w:rsidP="00D755A1">
      <w:pPr>
        <w:pStyle w:val="Ttulo1"/>
        <w:numPr>
          <w:ilvl w:val="0"/>
          <w:numId w:val="0"/>
        </w:numPr>
        <w:ind w:left="-284" w:right="-568" w:hanging="432"/>
        <w:jc w:val="center"/>
        <w:rPr>
          <w:rFonts w:ascii="Arial" w:hAnsi="Arial" w:cs="Arial"/>
          <w:color w:val="auto"/>
          <w:sz w:val="22"/>
          <w:szCs w:val="22"/>
        </w:rPr>
      </w:pPr>
      <w:r w:rsidRPr="00D755A1">
        <w:rPr>
          <w:rFonts w:ascii="Arial" w:hAnsi="Arial" w:cs="Arial"/>
          <w:color w:val="auto"/>
          <w:sz w:val="22"/>
          <w:szCs w:val="22"/>
        </w:rPr>
        <w:t>Luciana Andréia do Nascimento Lopes</w:t>
      </w:r>
      <w:proofErr w:type="gramStart"/>
      <w:r w:rsidRPr="00D755A1">
        <w:rPr>
          <w:rFonts w:ascii="Arial" w:hAnsi="Arial" w:cs="Arial"/>
          <w:color w:val="auto"/>
          <w:sz w:val="22"/>
          <w:szCs w:val="22"/>
        </w:rPr>
        <w:t xml:space="preserve">    </w:t>
      </w:r>
    </w:p>
    <w:p w:rsidR="00F8600B" w:rsidRPr="00D755A1" w:rsidRDefault="00280B17" w:rsidP="00D755A1">
      <w:pPr>
        <w:pStyle w:val="Ttulo1"/>
        <w:numPr>
          <w:ilvl w:val="0"/>
          <w:numId w:val="0"/>
        </w:numPr>
        <w:ind w:left="-284" w:right="-568" w:hanging="432"/>
        <w:rPr>
          <w:rFonts w:ascii="Arial" w:hAnsi="Arial" w:cs="Arial"/>
          <w:color w:val="auto"/>
          <w:sz w:val="22"/>
          <w:szCs w:val="22"/>
        </w:rPr>
      </w:pPr>
      <w:proofErr w:type="gramEnd"/>
      <w:r w:rsidRPr="00D755A1">
        <w:rPr>
          <w:rFonts w:ascii="Arial" w:hAnsi="Arial" w:cs="Arial"/>
          <w:color w:val="auto"/>
          <w:sz w:val="22"/>
          <w:szCs w:val="22"/>
        </w:rPr>
        <w:t xml:space="preserve">     </w:t>
      </w:r>
    </w:p>
    <w:p w:rsidR="00D755A1" w:rsidRDefault="00280B17" w:rsidP="00D755A1">
      <w:pPr>
        <w:pStyle w:val="Ttulo1"/>
        <w:numPr>
          <w:ilvl w:val="0"/>
          <w:numId w:val="0"/>
        </w:numPr>
        <w:ind w:left="-284" w:right="-568" w:hanging="432"/>
        <w:jc w:val="center"/>
        <w:rPr>
          <w:rFonts w:ascii="Arial" w:hAnsi="Arial" w:cs="Arial"/>
          <w:b w:val="0"/>
          <w:color w:val="auto"/>
          <w:sz w:val="22"/>
          <w:szCs w:val="22"/>
        </w:rPr>
      </w:pPr>
      <w:r w:rsidRPr="00E478F8">
        <w:rPr>
          <w:rFonts w:ascii="Arial" w:hAnsi="Arial" w:cs="Arial"/>
          <w:b w:val="0"/>
          <w:color w:val="auto"/>
          <w:sz w:val="22"/>
          <w:szCs w:val="22"/>
        </w:rPr>
        <w:t>____________________________</w:t>
      </w:r>
      <w:r w:rsidR="00D755A1">
        <w:rPr>
          <w:rFonts w:ascii="Arial" w:hAnsi="Arial" w:cs="Arial"/>
          <w:b w:val="0"/>
          <w:color w:val="auto"/>
          <w:sz w:val="22"/>
          <w:szCs w:val="22"/>
        </w:rPr>
        <w:t>_______</w:t>
      </w:r>
    </w:p>
    <w:p w:rsidR="00D755A1" w:rsidRPr="00D755A1" w:rsidRDefault="00280B17" w:rsidP="00F8600B">
      <w:pPr>
        <w:pStyle w:val="Ttulo1"/>
        <w:numPr>
          <w:ilvl w:val="0"/>
          <w:numId w:val="0"/>
        </w:numPr>
        <w:spacing w:line="276" w:lineRule="auto"/>
        <w:ind w:left="-284" w:right="-568" w:hanging="432"/>
        <w:jc w:val="center"/>
        <w:rPr>
          <w:rFonts w:ascii="Arial" w:hAnsi="Arial" w:cs="Arial"/>
          <w:color w:val="auto"/>
          <w:sz w:val="22"/>
          <w:szCs w:val="22"/>
        </w:rPr>
      </w:pPr>
      <w:r w:rsidRPr="00D755A1">
        <w:rPr>
          <w:rFonts w:ascii="Arial" w:hAnsi="Arial" w:cs="Arial"/>
          <w:color w:val="auto"/>
          <w:sz w:val="22"/>
          <w:szCs w:val="22"/>
        </w:rPr>
        <w:t xml:space="preserve">Wellington Glauco Antoniete                        </w:t>
      </w:r>
    </w:p>
    <w:p w:rsidR="00280B17" w:rsidRDefault="00280B17" w:rsidP="00F8600B">
      <w:pPr>
        <w:pStyle w:val="Ttulo1"/>
        <w:numPr>
          <w:ilvl w:val="0"/>
          <w:numId w:val="0"/>
        </w:numPr>
        <w:spacing w:line="276" w:lineRule="auto"/>
        <w:ind w:left="-284" w:right="-568" w:hanging="432"/>
        <w:jc w:val="center"/>
        <w:rPr>
          <w:rFonts w:ascii="Arial" w:hAnsi="Arial" w:cs="Arial"/>
          <w:b w:val="0"/>
          <w:color w:val="auto"/>
          <w:sz w:val="22"/>
          <w:szCs w:val="22"/>
        </w:rPr>
      </w:pPr>
    </w:p>
    <w:p w:rsidR="009775E6" w:rsidRDefault="009775E6" w:rsidP="009775E6"/>
    <w:p w:rsidR="009775E6" w:rsidRDefault="009775E6" w:rsidP="009775E6"/>
    <w:p w:rsidR="009775E6" w:rsidRDefault="009775E6" w:rsidP="009775E6"/>
    <w:p w:rsidR="009775E6" w:rsidRDefault="009775E6" w:rsidP="009775E6"/>
    <w:p w:rsidR="009775E6" w:rsidRDefault="009775E6" w:rsidP="009775E6"/>
    <w:p w:rsidR="009775E6" w:rsidRPr="009775E6" w:rsidRDefault="009775E6" w:rsidP="009775E6"/>
    <w:p w:rsidR="00280B17" w:rsidRPr="00E478F8" w:rsidRDefault="00280B17" w:rsidP="00E478F8">
      <w:pPr>
        <w:spacing w:line="276" w:lineRule="auto"/>
        <w:ind w:left="-284" w:right="-568"/>
        <w:rPr>
          <w:rFonts w:ascii="Arial" w:hAnsi="Arial" w:cs="Arial"/>
        </w:rPr>
      </w:pPr>
    </w:p>
    <w:p w:rsidR="00280B17" w:rsidRPr="00E478F8" w:rsidRDefault="00280B17" w:rsidP="00E478F8">
      <w:pPr>
        <w:pStyle w:val="Ttulo1"/>
        <w:numPr>
          <w:ilvl w:val="0"/>
          <w:numId w:val="0"/>
        </w:numPr>
        <w:spacing w:line="276" w:lineRule="auto"/>
        <w:ind w:left="-284" w:right="-568" w:hanging="432"/>
        <w:rPr>
          <w:rFonts w:ascii="Arial" w:hAnsi="Arial" w:cs="Arial"/>
          <w:b w:val="0"/>
          <w:color w:val="auto"/>
          <w:sz w:val="22"/>
          <w:szCs w:val="22"/>
        </w:rPr>
      </w:pPr>
    </w:p>
    <w:p w:rsidR="00280B17" w:rsidRPr="00E478F8" w:rsidRDefault="00280B17" w:rsidP="00E478F8">
      <w:pPr>
        <w:spacing w:line="276" w:lineRule="auto"/>
        <w:ind w:left="-284" w:right="-568"/>
        <w:rPr>
          <w:rFonts w:ascii="Arial" w:hAnsi="Arial" w:cs="Arial"/>
        </w:rPr>
      </w:pPr>
    </w:p>
    <w:p w:rsidR="00280B17" w:rsidRPr="00E478F8" w:rsidRDefault="00280B17" w:rsidP="00E478F8">
      <w:pPr>
        <w:pStyle w:val="Ttulo1"/>
        <w:numPr>
          <w:ilvl w:val="0"/>
          <w:numId w:val="0"/>
        </w:numPr>
        <w:spacing w:line="276" w:lineRule="auto"/>
        <w:ind w:left="-284" w:right="-568" w:hanging="432"/>
        <w:rPr>
          <w:rFonts w:ascii="Arial" w:hAnsi="Arial" w:cs="Arial"/>
          <w:b w:val="0"/>
          <w:color w:val="auto"/>
          <w:sz w:val="22"/>
          <w:szCs w:val="22"/>
        </w:rPr>
      </w:pPr>
      <w:r w:rsidRPr="00E478F8">
        <w:rPr>
          <w:rFonts w:ascii="Arial" w:hAnsi="Arial" w:cs="Arial"/>
          <w:b w:val="0"/>
          <w:color w:val="auto"/>
          <w:sz w:val="22"/>
          <w:szCs w:val="22"/>
        </w:rPr>
        <w:lastRenderedPageBreak/>
        <w:t>DISCLAIMER</w:t>
      </w:r>
      <w:bookmarkEnd w:id="127"/>
    </w:p>
    <w:p w:rsidR="00280B17" w:rsidRPr="00E478F8" w:rsidRDefault="00280B17" w:rsidP="00E478F8">
      <w:pPr>
        <w:spacing w:beforeLines="120" w:before="288" w:after="0" w:line="276" w:lineRule="auto"/>
        <w:ind w:left="-284" w:right="-568"/>
        <w:jc w:val="both"/>
        <w:rPr>
          <w:rFonts w:ascii="Arial" w:hAnsi="Arial" w:cs="Arial"/>
          <w:bCs/>
          <w:i/>
        </w:rPr>
      </w:pPr>
      <w:r w:rsidRPr="00E478F8">
        <w:rPr>
          <w:rFonts w:ascii="Arial" w:hAnsi="Arial" w:cs="Arial"/>
          <w:bCs/>
          <w:i/>
        </w:rPr>
        <w:t>Este Relatório e/ou Parecer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que julgamos confiáveis.</w:t>
      </w:r>
    </w:p>
    <w:p w:rsidR="00280B17" w:rsidRPr="00E478F8" w:rsidRDefault="00280B17" w:rsidP="00E478F8">
      <w:pPr>
        <w:spacing w:beforeLines="120" w:before="288" w:after="0" w:line="276" w:lineRule="auto"/>
        <w:ind w:left="-284" w:right="-568"/>
        <w:jc w:val="both"/>
        <w:rPr>
          <w:rFonts w:ascii="Arial" w:hAnsi="Arial" w:cs="Arial"/>
          <w:bCs/>
          <w:i/>
        </w:rPr>
      </w:pPr>
      <w:r w:rsidRPr="00E478F8">
        <w:rPr>
          <w:rFonts w:ascii="Arial" w:hAnsi="Arial" w:cs="Arial"/>
          <w:bCs/>
          <w:i/>
        </w:rPr>
        <w:t>Não nos responsabilizamos pela utilização destas informações em suas tomadas de decisão e consequentes perdas e ganhos. As informações aqui contidas não representam garantia de exatidão das informações prestadas ou julgamento sobre a qualidade das mesmas, e não devem ser consideradas como tais. As opiniões contidas neste Relatório e/ou Parecer são baseadas em julgamentos e estimativas, estando, portanto, sujeitas a mudanças.</w:t>
      </w:r>
    </w:p>
    <w:p w:rsidR="00280B17" w:rsidRPr="00E478F8" w:rsidRDefault="00280B17" w:rsidP="00E478F8">
      <w:pPr>
        <w:spacing w:beforeLines="120" w:before="288" w:after="0" w:line="276" w:lineRule="auto"/>
        <w:ind w:left="-284" w:right="-568"/>
        <w:jc w:val="both"/>
        <w:rPr>
          <w:rFonts w:ascii="Arial" w:hAnsi="Arial" w:cs="Arial"/>
          <w:bCs/>
          <w:i/>
        </w:rPr>
      </w:pPr>
      <w:r w:rsidRPr="00E478F8">
        <w:rPr>
          <w:rFonts w:ascii="Arial" w:hAnsi="Arial" w:cs="Arial"/>
          <w:bCs/>
          <w:i/>
        </w:rPr>
        <w:t>As informações deste Relatório procuram estar em consonância com o regulamento dos produtos mencionados, mas não substituem seus materiais regulatórios, como regulamentos e prospectos de distribuição. É recomendada a leitura cuidadosa tanto do prospecto quanto do regulamento, com especial atenção para as cláusulas relativas ao objetivo e à política de investimento dos produtos de investimento, bem como às disposições do prospecto e do regulamento que tratam dos fatoras de risco a que o fundo está exposto. Todas as informações sobre os produtos aqui mencionados, bem como o regulamento e o prospecto, podem ser obtidas com o responsável pela distribuição.</w:t>
      </w:r>
    </w:p>
    <w:p w:rsidR="00280B17" w:rsidRPr="00E478F8" w:rsidRDefault="00280B17" w:rsidP="00E478F8">
      <w:pPr>
        <w:spacing w:beforeLines="120" w:before="288" w:after="0" w:line="276" w:lineRule="auto"/>
        <w:ind w:left="-284" w:right="-568"/>
        <w:jc w:val="both"/>
        <w:rPr>
          <w:rFonts w:ascii="Arial" w:hAnsi="Arial" w:cs="Arial"/>
          <w:bCs/>
          <w:i/>
        </w:rPr>
      </w:pPr>
      <w:r w:rsidRPr="00E478F8">
        <w:rPr>
          <w:rFonts w:ascii="Arial" w:hAnsi="Arial" w:cs="Arial"/>
          <w:bCs/>
          <w:i/>
        </w:rPr>
        <w:t>A rentabilidade obtida no passado não representa garantia de rentabilidade futura e os produtos estruturados possuem, além da volatilidade, riscos associados à sua carteira de crédito e estruturação.</w:t>
      </w:r>
    </w:p>
    <w:p w:rsidR="00280B17" w:rsidRPr="00E478F8" w:rsidRDefault="00280B17" w:rsidP="00E478F8">
      <w:pPr>
        <w:spacing w:beforeLines="120" w:before="288" w:after="0" w:line="276" w:lineRule="auto"/>
        <w:ind w:left="-284" w:right="-568"/>
        <w:jc w:val="both"/>
        <w:rPr>
          <w:rFonts w:ascii="Arial" w:hAnsi="Arial" w:cs="Arial"/>
          <w:bCs/>
        </w:rPr>
      </w:pPr>
      <w:r w:rsidRPr="00E478F8">
        <w:rPr>
          <w:rFonts w:ascii="Arial" w:hAnsi="Arial" w:cs="Arial"/>
          <w:bCs/>
          <w:i/>
        </w:rPr>
        <w:t>Os RPPS devem estar adequados à Portaria nº 519, de 24 de Agosto de 2011 e suas alterações conforme Portarias nº 170, de 25 de Abril de 2012; nº 440, de 09 de Outubro de 2013 e nº 300 de 03 de Julho de 2015, além da Resolução CMN nº 3.922 de 25 de Novembro de 2010 e sua alteração conforme Resolução CMN nº 4.392 de 19 de Dezembro de 2014, que dispõem sobre as aplicações dos recursos financeiros dos Regimes Próprios de Previdência Social, instituídos pela União, Estados, Distrito Federal e Municípios e dá outras providências.</w:t>
      </w:r>
    </w:p>
    <w:p w:rsidR="00280B17" w:rsidRPr="00E478F8" w:rsidRDefault="00280B17" w:rsidP="00E478F8">
      <w:pPr>
        <w:spacing w:beforeLines="120" w:before="288" w:after="0" w:line="276" w:lineRule="auto"/>
        <w:ind w:left="-284" w:right="-568"/>
        <w:jc w:val="both"/>
        <w:rPr>
          <w:rFonts w:ascii="Arial" w:hAnsi="Arial" w:cs="Arial"/>
        </w:rPr>
      </w:pPr>
    </w:p>
    <w:p w:rsidR="00280B17" w:rsidRPr="00E478F8" w:rsidRDefault="00280B17" w:rsidP="00E478F8">
      <w:pPr>
        <w:spacing w:beforeLines="120" w:before="288" w:after="0" w:line="276" w:lineRule="auto"/>
        <w:ind w:left="-284" w:right="-568"/>
        <w:jc w:val="both"/>
        <w:rPr>
          <w:rFonts w:ascii="Arial" w:hAnsi="Arial" w:cs="Arial"/>
        </w:rPr>
      </w:pPr>
    </w:p>
    <w:p w:rsidR="00771FA7" w:rsidRPr="00E478F8" w:rsidRDefault="00771FA7" w:rsidP="00E478F8">
      <w:pPr>
        <w:spacing w:line="276" w:lineRule="auto"/>
        <w:ind w:left="-284" w:right="-568"/>
        <w:rPr>
          <w:rFonts w:ascii="Arial" w:hAnsi="Arial" w:cs="Arial"/>
        </w:rPr>
      </w:pPr>
    </w:p>
    <w:sectPr w:rsidR="00771FA7" w:rsidRPr="00E478F8" w:rsidSect="00280B17">
      <w:headerReference w:type="default" r:id="rId10"/>
      <w:footerReference w:type="default" r:id="rId11"/>
      <w:pgSz w:w="11906" w:h="16838"/>
      <w:pgMar w:top="1014" w:right="1701" w:bottom="1417" w:left="1701"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F4" w:rsidRDefault="006F0DF4" w:rsidP="006D6043">
      <w:pPr>
        <w:spacing w:after="0" w:line="240" w:lineRule="auto"/>
      </w:pPr>
      <w:r>
        <w:separator/>
      </w:r>
    </w:p>
  </w:endnote>
  <w:endnote w:type="continuationSeparator" w:id="0">
    <w:p w:rsidR="006F0DF4" w:rsidRDefault="006F0DF4" w:rsidP="006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17" w:rsidRPr="00C513F9" w:rsidRDefault="00280B17" w:rsidP="00771FA7">
    <w:pPr>
      <w:jc w:val="center"/>
      <w:rPr>
        <w:rFonts w:ascii="Arial" w:hAnsi="Arial" w:cs="Arial"/>
        <w:b/>
        <w:sz w:val="18"/>
        <w:szCs w:val="18"/>
      </w:rPr>
    </w:pPr>
    <w:r w:rsidRPr="00C513F9">
      <w:rPr>
        <w:rFonts w:ascii="Arial" w:hAnsi="Arial" w:cs="Arial"/>
        <w:b/>
        <w:sz w:val="18"/>
        <w:szCs w:val="18"/>
      </w:rPr>
      <w:t>PREVNAS- Instituto de Previdência Social dos Servidores Municipais de Nova Alvorada do Sul-MS</w:t>
    </w:r>
  </w:p>
  <w:p w:rsidR="00280B17" w:rsidRPr="00C513F9" w:rsidRDefault="00280B17" w:rsidP="00771FA7">
    <w:pPr>
      <w:jc w:val="center"/>
      <w:rPr>
        <w:rFonts w:ascii="Arial" w:hAnsi="Arial" w:cs="Arial"/>
        <w:b/>
        <w:sz w:val="18"/>
        <w:szCs w:val="18"/>
      </w:rPr>
    </w:pPr>
    <w:r w:rsidRPr="00C513F9">
      <w:rPr>
        <w:rFonts w:ascii="Arial" w:hAnsi="Arial" w:cs="Arial"/>
        <w:b/>
        <w:sz w:val="18"/>
        <w:szCs w:val="18"/>
      </w:rPr>
      <w:t xml:space="preserve">E-MAIL: </w:t>
    </w:r>
    <w:hyperlink r:id="rId1" w:history="1">
      <w:r w:rsidRPr="00C513F9">
        <w:rPr>
          <w:rStyle w:val="Hyperlink"/>
          <w:rFonts w:ascii="Arial" w:hAnsi="Arial" w:cs="Arial"/>
          <w:b/>
          <w:sz w:val="18"/>
          <w:szCs w:val="18"/>
        </w:rPr>
        <w:t>prevnas.dir@hotmail.com</w:t>
      </w:r>
    </w:hyperlink>
    <w:r>
      <w:rPr>
        <w:rFonts w:ascii="Arial" w:hAnsi="Arial" w:cs="Arial"/>
        <w:b/>
        <w:sz w:val="18"/>
        <w:szCs w:val="18"/>
      </w:rPr>
      <w:t xml:space="preserve"> Fone: (67) 34561008- 999164960 -9 99141337</w:t>
    </w:r>
    <w:r w:rsidRPr="00C513F9">
      <w:rPr>
        <w:rFonts w:ascii="Arial" w:hAnsi="Arial" w:cs="Arial"/>
        <w:b/>
        <w:sz w:val="18"/>
        <w:szCs w:val="18"/>
      </w:rPr>
      <w:t>-</w:t>
    </w:r>
    <w:r>
      <w:rPr>
        <w:rFonts w:ascii="Arial" w:hAnsi="Arial" w:cs="Arial"/>
        <w:b/>
        <w:sz w:val="18"/>
        <w:szCs w:val="18"/>
      </w:rPr>
      <w:t>9</w:t>
    </w:r>
    <w:r w:rsidRPr="00C513F9">
      <w:rPr>
        <w:rFonts w:ascii="Arial" w:hAnsi="Arial" w:cs="Arial"/>
        <w:b/>
        <w:sz w:val="18"/>
        <w:szCs w:val="18"/>
      </w:rPr>
      <w:t xml:space="preserve"> 99276713</w:t>
    </w:r>
  </w:p>
  <w:p w:rsidR="00280B17" w:rsidRDefault="00280B17" w:rsidP="00771F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F4" w:rsidRDefault="006F0DF4" w:rsidP="006D6043">
      <w:pPr>
        <w:spacing w:after="0" w:line="240" w:lineRule="auto"/>
      </w:pPr>
      <w:r>
        <w:separator/>
      </w:r>
    </w:p>
  </w:footnote>
  <w:footnote w:type="continuationSeparator" w:id="0">
    <w:p w:rsidR="006F0DF4" w:rsidRDefault="006F0DF4" w:rsidP="006D6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2552"/>
      <w:gridCol w:w="7087"/>
    </w:tblGrid>
    <w:tr w:rsidR="00280B17" w:rsidTr="006D6043">
      <w:tc>
        <w:tcPr>
          <w:tcW w:w="2552" w:type="dxa"/>
        </w:tcPr>
        <w:p w:rsidR="00280B17" w:rsidRDefault="00280B17">
          <w:pPr>
            <w:pStyle w:val="Cabealho"/>
          </w:pPr>
          <w:r>
            <w:object w:dxaOrig="2621" w:dyaOrig="2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83.25pt" o:ole="" fillcolor="window">
                <v:imagedata r:id="rId1" o:title=""/>
              </v:shape>
              <o:OLEObject Type="Embed" ProgID="PBrush" ShapeID="_x0000_i1025" DrawAspect="Content" ObjectID="_1578728509" r:id="rId2"/>
            </w:object>
          </w:r>
        </w:p>
      </w:tc>
      <w:tc>
        <w:tcPr>
          <w:tcW w:w="7087" w:type="dxa"/>
        </w:tcPr>
        <w:p w:rsidR="00280B17" w:rsidRDefault="00280B17" w:rsidP="006D6043">
          <w:pPr>
            <w:pStyle w:val="Cabealho"/>
            <w:jc w:val="center"/>
            <w:rPr>
              <w:sz w:val="28"/>
              <w:szCs w:val="28"/>
            </w:rPr>
          </w:pPr>
        </w:p>
        <w:p w:rsidR="00280B17" w:rsidRPr="006D6043" w:rsidRDefault="00280B17" w:rsidP="006D6043">
          <w:pPr>
            <w:pStyle w:val="Cabealho"/>
            <w:jc w:val="center"/>
            <w:rPr>
              <w:b/>
              <w:sz w:val="28"/>
              <w:szCs w:val="28"/>
            </w:rPr>
          </w:pPr>
          <w:r w:rsidRPr="006D6043">
            <w:rPr>
              <w:b/>
              <w:sz w:val="28"/>
              <w:szCs w:val="28"/>
            </w:rPr>
            <w:t>INSTITUTO DE PREVIDÊNCIA SOCIAL DOS SERVIDORES MUNICIPAIS DE NOVA ALVORADA DO SUL/MS</w:t>
          </w:r>
        </w:p>
        <w:p w:rsidR="00280B17" w:rsidRPr="006D6043" w:rsidRDefault="00280B17" w:rsidP="006D6043">
          <w:pPr>
            <w:pStyle w:val="Cabealho"/>
            <w:jc w:val="center"/>
            <w:rPr>
              <w:sz w:val="28"/>
              <w:szCs w:val="28"/>
            </w:rPr>
          </w:pPr>
          <w:r w:rsidRPr="006D6043">
            <w:rPr>
              <w:b/>
              <w:sz w:val="28"/>
              <w:szCs w:val="28"/>
            </w:rPr>
            <w:t>PREVNAS</w:t>
          </w:r>
        </w:p>
      </w:tc>
    </w:tr>
  </w:tbl>
  <w:p w:rsidR="00280B17" w:rsidRDefault="00280B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31D12"/>
    <w:multiLevelType w:val="hybridMultilevel"/>
    <w:tmpl w:val="02386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BB6D37"/>
    <w:multiLevelType w:val="multilevel"/>
    <w:tmpl w:val="4D20367C"/>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DCF6C13"/>
    <w:multiLevelType w:val="hybridMultilevel"/>
    <w:tmpl w:val="D6982488"/>
    <w:lvl w:ilvl="0" w:tplc="D5C20464">
      <w:start w:val="1"/>
      <w:numFmt w:val="bullet"/>
      <w:lvlText w:val="•"/>
      <w:lvlJc w:val="left"/>
      <w:pPr>
        <w:tabs>
          <w:tab w:val="num" w:pos="720"/>
        </w:tabs>
        <w:ind w:left="720" w:hanging="360"/>
      </w:pPr>
      <w:rPr>
        <w:rFonts w:ascii="Arial" w:hAnsi="Arial" w:hint="default"/>
      </w:rPr>
    </w:lvl>
    <w:lvl w:ilvl="1" w:tplc="C422FD3E" w:tentative="1">
      <w:start w:val="1"/>
      <w:numFmt w:val="bullet"/>
      <w:lvlText w:val="•"/>
      <w:lvlJc w:val="left"/>
      <w:pPr>
        <w:tabs>
          <w:tab w:val="num" w:pos="1440"/>
        </w:tabs>
        <w:ind w:left="1440" w:hanging="360"/>
      </w:pPr>
      <w:rPr>
        <w:rFonts w:ascii="Arial" w:hAnsi="Arial" w:hint="default"/>
      </w:rPr>
    </w:lvl>
    <w:lvl w:ilvl="2" w:tplc="BF4437B8" w:tentative="1">
      <w:start w:val="1"/>
      <w:numFmt w:val="bullet"/>
      <w:lvlText w:val="•"/>
      <w:lvlJc w:val="left"/>
      <w:pPr>
        <w:tabs>
          <w:tab w:val="num" w:pos="2160"/>
        </w:tabs>
        <w:ind w:left="2160" w:hanging="360"/>
      </w:pPr>
      <w:rPr>
        <w:rFonts w:ascii="Arial" w:hAnsi="Arial" w:hint="default"/>
      </w:rPr>
    </w:lvl>
    <w:lvl w:ilvl="3" w:tplc="F6280244" w:tentative="1">
      <w:start w:val="1"/>
      <w:numFmt w:val="bullet"/>
      <w:lvlText w:val="•"/>
      <w:lvlJc w:val="left"/>
      <w:pPr>
        <w:tabs>
          <w:tab w:val="num" w:pos="2880"/>
        </w:tabs>
        <w:ind w:left="2880" w:hanging="360"/>
      </w:pPr>
      <w:rPr>
        <w:rFonts w:ascii="Arial" w:hAnsi="Arial" w:hint="default"/>
      </w:rPr>
    </w:lvl>
    <w:lvl w:ilvl="4" w:tplc="5AB2F98A" w:tentative="1">
      <w:start w:val="1"/>
      <w:numFmt w:val="bullet"/>
      <w:lvlText w:val="•"/>
      <w:lvlJc w:val="left"/>
      <w:pPr>
        <w:tabs>
          <w:tab w:val="num" w:pos="3600"/>
        </w:tabs>
        <w:ind w:left="3600" w:hanging="360"/>
      </w:pPr>
      <w:rPr>
        <w:rFonts w:ascii="Arial" w:hAnsi="Arial" w:hint="default"/>
      </w:rPr>
    </w:lvl>
    <w:lvl w:ilvl="5" w:tplc="F06623A8" w:tentative="1">
      <w:start w:val="1"/>
      <w:numFmt w:val="bullet"/>
      <w:lvlText w:val="•"/>
      <w:lvlJc w:val="left"/>
      <w:pPr>
        <w:tabs>
          <w:tab w:val="num" w:pos="4320"/>
        </w:tabs>
        <w:ind w:left="4320" w:hanging="360"/>
      </w:pPr>
      <w:rPr>
        <w:rFonts w:ascii="Arial" w:hAnsi="Arial" w:hint="default"/>
      </w:rPr>
    </w:lvl>
    <w:lvl w:ilvl="6" w:tplc="6882B74C" w:tentative="1">
      <w:start w:val="1"/>
      <w:numFmt w:val="bullet"/>
      <w:lvlText w:val="•"/>
      <w:lvlJc w:val="left"/>
      <w:pPr>
        <w:tabs>
          <w:tab w:val="num" w:pos="5040"/>
        </w:tabs>
        <w:ind w:left="5040" w:hanging="360"/>
      </w:pPr>
      <w:rPr>
        <w:rFonts w:ascii="Arial" w:hAnsi="Arial" w:hint="default"/>
      </w:rPr>
    </w:lvl>
    <w:lvl w:ilvl="7" w:tplc="8A5EE106" w:tentative="1">
      <w:start w:val="1"/>
      <w:numFmt w:val="bullet"/>
      <w:lvlText w:val="•"/>
      <w:lvlJc w:val="left"/>
      <w:pPr>
        <w:tabs>
          <w:tab w:val="num" w:pos="5760"/>
        </w:tabs>
        <w:ind w:left="5760" w:hanging="360"/>
      </w:pPr>
      <w:rPr>
        <w:rFonts w:ascii="Arial" w:hAnsi="Arial" w:hint="default"/>
      </w:rPr>
    </w:lvl>
    <w:lvl w:ilvl="8" w:tplc="62B65384" w:tentative="1">
      <w:start w:val="1"/>
      <w:numFmt w:val="bullet"/>
      <w:lvlText w:val="•"/>
      <w:lvlJc w:val="left"/>
      <w:pPr>
        <w:tabs>
          <w:tab w:val="num" w:pos="6480"/>
        </w:tabs>
        <w:ind w:left="6480" w:hanging="360"/>
      </w:pPr>
      <w:rPr>
        <w:rFonts w:ascii="Arial" w:hAnsi="Arial" w:hint="default"/>
      </w:rPr>
    </w:lvl>
  </w:abstractNum>
  <w:abstractNum w:abstractNumId="4">
    <w:nsid w:val="10AC4C1D"/>
    <w:multiLevelType w:val="hybridMultilevel"/>
    <w:tmpl w:val="4D0A1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A62414"/>
    <w:multiLevelType w:val="hybridMultilevel"/>
    <w:tmpl w:val="88361032"/>
    <w:lvl w:ilvl="0" w:tplc="8BFCC08E">
      <w:start w:val="1"/>
      <w:numFmt w:val="bullet"/>
      <w:lvlText w:val="•"/>
      <w:lvlJc w:val="left"/>
      <w:pPr>
        <w:tabs>
          <w:tab w:val="num" w:pos="360"/>
        </w:tabs>
        <w:ind w:left="360" w:hanging="360"/>
      </w:pPr>
      <w:rPr>
        <w:rFonts w:ascii="Arial" w:hAnsi="Arial" w:hint="default"/>
      </w:rPr>
    </w:lvl>
    <w:lvl w:ilvl="1" w:tplc="B76C1EBE">
      <w:start w:val="36"/>
      <w:numFmt w:val="bullet"/>
      <w:lvlText w:val=""/>
      <w:lvlJc w:val="left"/>
      <w:pPr>
        <w:tabs>
          <w:tab w:val="num" w:pos="1080"/>
        </w:tabs>
        <w:ind w:left="1080" w:hanging="360"/>
      </w:pPr>
      <w:rPr>
        <w:rFonts w:ascii="Wingdings" w:hAnsi="Wingdings" w:hint="default"/>
      </w:rPr>
    </w:lvl>
    <w:lvl w:ilvl="2" w:tplc="B1E2D19C" w:tentative="1">
      <w:start w:val="1"/>
      <w:numFmt w:val="bullet"/>
      <w:lvlText w:val="•"/>
      <w:lvlJc w:val="left"/>
      <w:pPr>
        <w:tabs>
          <w:tab w:val="num" w:pos="1800"/>
        </w:tabs>
        <w:ind w:left="1800" w:hanging="360"/>
      </w:pPr>
      <w:rPr>
        <w:rFonts w:ascii="Arial" w:hAnsi="Arial" w:hint="default"/>
      </w:rPr>
    </w:lvl>
    <w:lvl w:ilvl="3" w:tplc="D5E2F366" w:tentative="1">
      <w:start w:val="1"/>
      <w:numFmt w:val="bullet"/>
      <w:lvlText w:val="•"/>
      <w:lvlJc w:val="left"/>
      <w:pPr>
        <w:tabs>
          <w:tab w:val="num" w:pos="2520"/>
        </w:tabs>
        <w:ind w:left="2520" w:hanging="360"/>
      </w:pPr>
      <w:rPr>
        <w:rFonts w:ascii="Arial" w:hAnsi="Arial" w:hint="default"/>
      </w:rPr>
    </w:lvl>
    <w:lvl w:ilvl="4" w:tplc="47AAC38A" w:tentative="1">
      <w:start w:val="1"/>
      <w:numFmt w:val="bullet"/>
      <w:lvlText w:val="•"/>
      <w:lvlJc w:val="left"/>
      <w:pPr>
        <w:tabs>
          <w:tab w:val="num" w:pos="3240"/>
        </w:tabs>
        <w:ind w:left="3240" w:hanging="360"/>
      </w:pPr>
      <w:rPr>
        <w:rFonts w:ascii="Arial" w:hAnsi="Arial" w:hint="default"/>
      </w:rPr>
    </w:lvl>
    <w:lvl w:ilvl="5" w:tplc="0092336C" w:tentative="1">
      <w:start w:val="1"/>
      <w:numFmt w:val="bullet"/>
      <w:lvlText w:val="•"/>
      <w:lvlJc w:val="left"/>
      <w:pPr>
        <w:tabs>
          <w:tab w:val="num" w:pos="3960"/>
        </w:tabs>
        <w:ind w:left="3960" w:hanging="360"/>
      </w:pPr>
      <w:rPr>
        <w:rFonts w:ascii="Arial" w:hAnsi="Arial" w:hint="default"/>
      </w:rPr>
    </w:lvl>
    <w:lvl w:ilvl="6" w:tplc="1DAEF0FA" w:tentative="1">
      <w:start w:val="1"/>
      <w:numFmt w:val="bullet"/>
      <w:lvlText w:val="•"/>
      <w:lvlJc w:val="left"/>
      <w:pPr>
        <w:tabs>
          <w:tab w:val="num" w:pos="4680"/>
        </w:tabs>
        <w:ind w:left="4680" w:hanging="360"/>
      </w:pPr>
      <w:rPr>
        <w:rFonts w:ascii="Arial" w:hAnsi="Arial" w:hint="default"/>
      </w:rPr>
    </w:lvl>
    <w:lvl w:ilvl="7" w:tplc="3A5678E8" w:tentative="1">
      <w:start w:val="1"/>
      <w:numFmt w:val="bullet"/>
      <w:lvlText w:val="•"/>
      <w:lvlJc w:val="left"/>
      <w:pPr>
        <w:tabs>
          <w:tab w:val="num" w:pos="5400"/>
        </w:tabs>
        <w:ind w:left="5400" w:hanging="360"/>
      </w:pPr>
      <w:rPr>
        <w:rFonts w:ascii="Arial" w:hAnsi="Arial" w:hint="default"/>
      </w:rPr>
    </w:lvl>
    <w:lvl w:ilvl="8" w:tplc="C608CB92" w:tentative="1">
      <w:start w:val="1"/>
      <w:numFmt w:val="bullet"/>
      <w:lvlText w:val="•"/>
      <w:lvlJc w:val="left"/>
      <w:pPr>
        <w:tabs>
          <w:tab w:val="num" w:pos="6120"/>
        </w:tabs>
        <w:ind w:left="6120" w:hanging="360"/>
      </w:pPr>
      <w:rPr>
        <w:rFonts w:ascii="Arial" w:hAnsi="Arial" w:hint="default"/>
      </w:rPr>
    </w:lvl>
  </w:abstractNum>
  <w:abstractNum w:abstractNumId="6">
    <w:nsid w:val="1C9F2700"/>
    <w:multiLevelType w:val="hybridMultilevel"/>
    <w:tmpl w:val="B4D26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380584"/>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307D5DCE"/>
    <w:multiLevelType w:val="hybridMultilevel"/>
    <w:tmpl w:val="BE9A8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E02893"/>
    <w:multiLevelType w:val="multilevel"/>
    <w:tmpl w:val="9C1C5D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172B54"/>
    <w:multiLevelType w:val="hybridMultilevel"/>
    <w:tmpl w:val="DA489F4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4DC79C9"/>
    <w:multiLevelType w:val="hybridMultilevel"/>
    <w:tmpl w:val="C212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A77FE"/>
    <w:multiLevelType w:val="hybridMultilevel"/>
    <w:tmpl w:val="4F48D63E"/>
    <w:lvl w:ilvl="0" w:tplc="9B5456B8">
      <w:start w:val="1"/>
      <w:numFmt w:val="bullet"/>
      <w:lvlText w:val="•"/>
      <w:lvlJc w:val="left"/>
      <w:pPr>
        <w:tabs>
          <w:tab w:val="num" w:pos="720"/>
        </w:tabs>
        <w:ind w:left="720" w:hanging="360"/>
      </w:pPr>
      <w:rPr>
        <w:rFonts w:ascii="Arial" w:hAnsi="Arial" w:hint="default"/>
      </w:rPr>
    </w:lvl>
    <w:lvl w:ilvl="1" w:tplc="2D242222" w:tentative="1">
      <w:start w:val="1"/>
      <w:numFmt w:val="bullet"/>
      <w:lvlText w:val="•"/>
      <w:lvlJc w:val="left"/>
      <w:pPr>
        <w:tabs>
          <w:tab w:val="num" w:pos="1440"/>
        </w:tabs>
        <w:ind w:left="1440" w:hanging="360"/>
      </w:pPr>
      <w:rPr>
        <w:rFonts w:ascii="Arial" w:hAnsi="Arial" w:hint="default"/>
      </w:rPr>
    </w:lvl>
    <w:lvl w:ilvl="2" w:tplc="E6D06EAA" w:tentative="1">
      <w:start w:val="1"/>
      <w:numFmt w:val="bullet"/>
      <w:lvlText w:val="•"/>
      <w:lvlJc w:val="left"/>
      <w:pPr>
        <w:tabs>
          <w:tab w:val="num" w:pos="2160"/>
        </w:tabs>
        <w:ind w:left="2160" w:hanging="360"/>
      </w:pPr>
      <w:rPr>
        <w:rFonts w:ascii="Arial" w:hAnsi="Arial" w:hint="default"/>
      </w:rPr>
    </w:lvl>
    <w:lvl w:ilvl="3" w:tplc="04B4B2CE" w:tentative="1">
      <w:start w:val="1"/>
      <w:numFmt w:val="bullet"/>
      <w:lvlText w:val="•"/>
      <w:lvlJc w:val="left"/>
      <w:pPr>
        <w:tabs>
          <w:tab w:val="num" w:pos="2880"/>
        </w:tabs>
        <w:ind w:left="2880" w:hanging="360"/>
      </w:pPr>
      <w:rPr>
        <w:rFonts w:ascii="Arial" w:hAnsi="Arial" w:hint="default"/>
      </w:rPr>
    </w:lvl>
    <w:lvl w:ilvl="4" w:tplc="4038F780" w:tentative="1">
      <w:start w:val="1"/>
      <w:numFmt w:val="bullet"/>
      <w:lvlText w:val="•"/>
      <w:lvlJc w:val="left"/>
      <w:pPr>
        <w:tabs>
          <w:tab w:val="num" w:pos="3600"/>
        </w:tabs>
        <w:ind w:left="3600" w:hanging="360"/>
      </w:pPr>
      <w:rPr>
        <w:rFonts w:ascii="Arial" w:hAnsi="Arial" w:hint="default"/>
      </w:rPr>
    </w:lvl>
    <w:lvl w:ilvl="5" w:tplc="6E82E964" w:tentative="1">
      <w:start w:val="1"/>
      <w:numFmt w:val="bullet"/>
      <w:lvlText w:val="•"/>
      <w:lvlJc w:val="left"/>
      <w:pPr>
        <w:tabs>
          <w:tab w:val="num" w:pos="4320"/>
        </w:tabs>
        <w:ind w:left="4320" w:hanging="360"/>
      </w:pPr>
      <w:rPr>
        <w:rFonts w:ascii="Arial" w:hAnsi="Arial" w:hint="default"/>
      </w:rPr>
    </w:lvl>
    <w:lvl w:ilvl="6" w:tplc="33746DFA" w:tentative="1">
      <w:start w:val="1"/>
      <w:numFmt w:val="bullet"/>
      <w:lvlText w:val="•"/>
      <w:lvlJc w:val="left"/>
      <w:pPr>
        <w:tabs>
          <w:tab w:val="num" w:pos="5040"/>
        </w:tabs>
        <w:ind w:left="5040" w:hanging="360"/>
      </w:pPr>
      <w:rPr>
        <w:rFonts w:ascii="Arial" w:hAnsi="Arial" w:hint="default"/>
      </w:rPr>
    </w:lvl>
    <w:lvl w:ilvl="7" w:tplc="69DA642C" w:tentative="1">
      <w:start w:val="1"/>
      <w:numFmt w:val="bullet"/>
      <w:lvlText w:val="•"/>
      <w:lvlJc w:val="left"/>
      <w:pPr>
        <w:tabs>
          <w:tab w:val="num" w:pos="5760"/>
        </w:tabs>
        <w:ind w:left="5760" w:hanging="360"/>
      </w:pPr>
      <w:rPr>
        <w:rFonts w:ascii="Arial" w:hAnsi="Arial" w:hint="default"/>
      </w:rPr>
    </w:lvl>
    <w:lvl w:ilvl="8" w:tplc="83CA40EA" w:tentative="1">
      <w:start w:val="1"/>
      <w:numFmt w:val="bullet"/>
      <w:lvlText w:val="•"/>
      <w:lvlJc w:val="left"/>
      <w:pPr>
        <w:tabs>
          <w:tab w:val="num" w:pos="6480"/>
        </w:tabs>
        <w:ind w:left="6480" w:hanging="360"/>
      </w:pPr>
      <w:rPr>
        <w:rFonts w:ascii="Arial" w:hAnsi="Arial" w:hint="default"/>
      </w:rPr>
    </w:lvl>
  </w:abstractNum>
  <w:abstractNum w:abstractNumId="13">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4">
    <w:nsid w:val="4FAE0185"/>
    <w:multiLevelType w:val="hybridMultilevel"/>
    <w:tmpl w:val="11066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B97CCC"/>
    <w:multiLevelType w:val="hybridMultilevel"/>
    <w:tmpl w:val="CFDA6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33151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15612F"/>
    <w:multiLevelType w:val="hybridMultilevel"/>
    <w:tmpl w:val="226268B2"/>
    <w:lvl w:ilvl="0" w:tplc="033690E2">
      <w:start w:val="1"/>
      <w:numFmt w:val="bullet"/>
      <w:lvlText w:val="•"/>
      <w:lvlJc w:val="left"/>
      <w:pPr>
        <w:tabs>
          <w:tab w:val="num" w:pos="720"/>
        </w:tabs>
        <w:ind w:left="720" w:hanging="360"/>
      </w:pPr>
      <w:rPr>
        <w:rFonts w:ascii="Arial" w:hAnsi="Arial" w:hint="default"/>
      </w:rPr>
    </w:lvl>
    <w:lvl w:ilvl="1" w:tplc="D760FE6A" w:tentative="1">
      <w:start w:val="1"/>
      <w:numFmt w:val="bullet"/>
      <w:lvlText w:val="•"/>
      <w:lvlJc w:val="left"/>
      <w:pPr>
        <w:tabs>
          <w:tab w:val="num" w:pos="1440"/>
        </w:tabs>
        <w:ind w:left="1440" w:hanging="360"/>
      </w:pPr>
      <w:rPr>
        <w:rFonts w:ascii="Arial" w:hAnsi="Arial" w:hint="default"/>
      </w:rPr>
    </w:lvl>
    <w:lvl w:ilvl="2" w:tplc="F6E43442" w:tentative="1">
      <w:start w:val="1"/>
      <w:numFmt w:val="bullet"/>
      <w:lvlText w:val="•"/>
      <w:lvlJc w:val="left"/>
      <w:pPr>
        <w:tabs>
          <w:tab w:val="num" w:pos="2160"/>
        </w:tabs>
        <w:ind w:left="2160" w:hanging="360"/>
      </w:pPr>
      <w:rPr>
        <w:rFonts w:ascii="Arial" w:hAnsi="Arial" w:hint="default"/>
      </w:rPr>
    </w:lvl>
    <w:lvl w:ilvl="3" w:tplc="1AB29F4E" w:tentative="1">
      <w:start w:val="1"/>
      <w:numFmt w:val="bullet"/>
      <w:lvlText w:val="•"/>
      <w:lvlJc w:val="left"/>
      <w:pPr>
        <w:tabs>
          <w:tab w:val="num" w:pos="2880"/>
        </w:tabs>
        <w:ind w:left="2880" w:hanging="360"/>
      </w:pPr>
      <w:rPr>
        <w:rFonts w:ascii="Arial" w:hAnsi="Arial" w:hint="default"/>
      </w:rPr>
    </w:lvl>
    <w:lvl w:ilvl="4" w:tplc="FEFC936C" w:tentative="1">
      <w:start w:val="1"/>
      <w:numFmt w:val="bullet"/>
      <w:lvlText w:val="•"/>
      <w:lvlJc w:val="left"/>
      <w:pPr>
        <w:tabs>
          <w:tab w:val="num" w:pos="3600"/>
        </w:tabs>
        <w:ind w:left="3600" w:hanging="360"/>
      </w:pPr>
      <w:rPr>
        <w:rFonts w:ascii="Arial" w:hAnsi="Arial" w:hint="default"/>
      </w:rPr>
    </w:lvl>
    <w:lvl w:ilvl="5" w:tplc="32565DDA" w:tentative="1">
      <w:start w:val="1"/>
      <w:numFmt w:val="bullet"/>
      <w:lvlText w:val="•"/>
      <w:lvlJc w:val="left"/>
      <w:pPr>
        <w:tabs>
          <w:tab w:val="num" w:pos="4320"/>
        </w:tabs>
        <w:ind w:left="4320" w:hanging="360"/>
      </w:pPr>
      <w:rPr>
        <w:rFonts w:ascii="Arial" w:hAnsi="Arial" w:hint="default"/>
      </w:rPr>
    </w:lvl>
    <w:lvl w:ilvl="6" w:tplc="CAA4885C" w:tentative="1">
      <w:start w:val="1"/>
      <w:numFmt w:val="bullet"/>
      <w:lvlText w:val="•"/>
      <w:lvlJc w:val="left"/>
      <w:pPr>
        <w:tabs>
          <w:tab w:val="num" w:pos="5040"/>
        </w:tabs>
        <w:ind w:left="5040" w:hanging="360"/>
      </w:pPr>
      <w:rPr>
        <w:rFonts w:ascii="Arial" w:hAnsi="Arial" w:hint="default"/>
      </w:rPr>
    </w:lvl>
    <w:lvl w:ilvl="7" w:tplc="99F27832" w:tentative="1">
      <w:start w:val="1"/>
      <w:numFmt w:val="bullet"/>
      <w:lvlText w:val="•"/>
      <w:lvlJc w:val="left"/>
      <w:pPr>
        <w:tabs>
          <w:tab w:val="num" w:pos="5760"/>
        </w:tabs>
        <w:ind w:left="5760" w:hanging="360"/>
      </w:pPr>
      <w:rPr>
        <w:rFonts w:ascii="Arial" w:hAnsi="Arial" w:hint="default"/>
      </w:rPr>
    </w:lvl>
    <w:lvl w:ilvl="8" w:tplc="A63E4C58" w:tentative="1">
      <w:start w:val="1"/>
      <w:numFmt w:val="bullet"/>
      <w:lvlText w:val="•"/>
      <w:lvlJc w:val="left"/>
      <w:pPr>
        <w:tabs>
          <w:tab w:val="num" w:pos="6480"/>
        </w:tabs>
        <w:ind w:left="6480" w:hanging="360"/>
      </w:pPr>
      <w:rPr>
        <w:rFonts w:ascii="Arial" w:hAnsi="Arial" w:hint="default"/>
      </w:rPr>
    </w:lvl>
  </w:abstractNum>
  <w:abstractNum w:abstractNumId="18">
    <w:nsid w:val="58CE3157"/>
    <w:multiLevelType w:val="multilevel"/>
    <w:tmpl w:val="3698BBA6"/>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DFD09D3"/>
    <w:multiLevelType w:val="hybridMultilevel"/>
    <w:tmpl w:val="374E0298"/>
    <w:lvl w:ilvl="0" w:tplc="0416000F">
      <w:start w:val="1"/>
      <w:numFmt w:val="decimal"/>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20">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nsid w:val="6BE7566F"/>
    <w:multiLevelType w:val="multilevel"/>
    <w:tmpl w:val="CD6063D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6CC20A20"/>
    <w:multiLevelType w:val="hybridMultilevel"/>
    <w:tmpl w:val="231A21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56518F"/>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705C5A51"/>
    <w:multiLevelType w:val="hybridMultilevel"/>
    <w:tmpl w:val="8FD8C35C"/>
    <w:lvl w:ilvl="0" w:tplc="13A05B0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607D2A"/>
    <w:multiLevelType w:val="hybridMultilevel"/>
    <w:tmpl w:val="1FDC878A"/>
    <w:lvl w:ilvl="0" w:tplc="5FB4ED1E">
      <w:start w:val="1"/>
      <w:numFmt w:val="bullet"/>
      <w:lvlText w:val="•"/>
      <w:lvlJc w:val="left"/>
      <w:pPr>
        <w:tabs>
          <w:tab w:val="num" w:pos="720"/>
        </w:tabs>
        <w:ind w:left="720" w:hanging="360"/>
      </w:pPr>
      <w:rPr>
        <w:rFonts w:ascii="Arial" w:hAnsi="Arial" w:hint="default"/>
      </w:rPr>
    </w:lvl>
    <w:lvl w:ilvl="1" w:tplc="4056A010" w:tentative="1">
      <w:start w:val="1"/>
      <w:numFmt w:val="bullet"/>
      <w:lvlText w:val="•"/>
      <w:lvlJc w:val="left"/>
      <w:pPr>
        <w:tabs>
          <w:tab w:val="num" w:pos="1440"/>
        </w:tabs>
        <w:ind w:left="1440" w:hanging="360"/>
      </w:pPr>
      <w:rPr>
        <w:rFonts w:ascii="Arial" w:hAnsi="Arial" w:hint="default"/>
      </w:rPr>
    </w:lvl>
    <w:lvl w:ilvl="2" w:tplc="2B92FA86" w:tentative="1">
      <w:start w:val="1"/>
      <w:numFmt w:val="bullet"/>
      <w:lvlText w:val="•"/>
      <w:lvlJc w:val="left"/>
      <w:pPr>
        <w:tabs>
          <w:tab w:val="num" w:pos="2160"/>
        </w:tabs>
        <w:ind w:left="2160" w:hanging="360"/>
      </w:pPr>
      <w:rPr>
        <w:rFonts w:ascii="Arial" w:hAnsi="Arial" w:hint="default"/>
      </w:rPr>
    </w:lvl>
    <w:lvl w:ilvl="3" w:tplc="7E8C45B6" w:tentative="1">
      <w:start w:val="1"/>
      <w:numFmt w:val="bullet"/>
      <w:lvlText w:val="•"/>
      <w:lvlJc w:val="left"/>
      <w:pPr>
        <w:tabs>
          <w:tab w:val="num" w:pos="2880"/>
        </w:tabs>
        <w:ind w:left="2880" w:hanging="360"/>
      </w:pPr>
      <w:rPr>
        <w:rFonts w:ascii="Arial" w:hAnsi="Arial" w:hint="default"/>
      </w:rPr>
    </w:lvl>
    <w:lvl w:ilvl="4" w:tplc="BC14F66C" w:tentative="1">
      <w:start w:val="1"/>
      <w:numFmt w:val="bullet"/>
      <w:lvlText w:val="•"/>
      <w:lvlJc w:val="left"/>
      <w:pPr>
        <w:tabs>
          <w:tab w:val="num" w:pos="3600"/>
        </w:tabs>
        <w:ind w:left="3600" w:hanging="360"/>
      </w:pPr>
      <w:rPr>
        <w:rFonts w:ascii="Arial" w:hAnsi="Arial" w:hint="default"/>
      </w:rPr>
    </w:lvl>
    <w:lvl w:ilvl="5" w:tplc="168C743E" w:tentative="1">
      <w:start w:val="1"/>
      <w:numFmt w:val="bullet"/>
      <w:lvlText w:val="•"/>
      <w:lvlJc w:val="left"/>
      <w:pPr>
        <w:tabs>
          <w:tab w:val="num" w:pos="4320"/>
        </w:tabs>
        <w:ind w:left="4320" w:hanging="360"/>
      </w:pPr>
      <w:rPr>
        <w:rFonts w:ascii="Arial" w:hAnsi="Arial" w:hint="default"/>
      </w:rPr>
    </w:lvl>
    <w:lvl w:ilvl="6" w:tplc="E612EACA" w:tentative="1">
      <w:start w:val="1"/>
      <w:numFmt w:val="bullet"/>
      <w:lvlText w:val="•"/>
      <w:lvlJc w:val="left"/>
      <w:pPr>
        <w:tabs>
          <w:tab w:val="num" w:pos="5040"/>
        </w:tabs>
        <w:ind w:left="5040" w:hanging="360"/>
      </w:pPr>
      <w:rPr>
        <w:rFonts w:ascii="Arial" w:hAnsi="Arial" w:hint="default"/>
      </w:rPr>
    </w:lvl>
    <w:lvl w:ilvl="7" w:tplc="EDA8C658" w:tentative="1">
      <w:start w:val="1"/>
      <w:numFmt w:val="bullet"/>
      <w:lvlText w:val="•"/>
      <w:lvlJc w:val="left"/>
      <w:pPr>
        <w:tabs>
          <w:tab w:val="num" w:pos="5760"/>
        </w:tabs>
        <w:ind w:left="5760" w:hanging="360"/>
      </w:pPr>
      <w:rPr>
        <w:rFonts w:ascii="Arial" w:hAnsi="Arial" w:hint="default"/>
      </w:rPr>
    </w:lvl>
    <w:lvl w:ilvl="8" w:tplc="9580DEB8" w:tentative="1">
      <w:start w:val="1"/>
      <w:numFmt w:val="bullet"/>
      <w:lvlText w:val="•"/>
      <w:lvlJc w:val="left"/>
      <w:pPr>
        <w:tabs>
          <w:tab w:val="num" w:pos="6480"/>
        </w:tabs>
        <w:ind w:left="6480" w:hanging="360"/>
      </w:pPr>
      <w:rPr>
        <w:rFonts w:ascii="Arial" w:hAnsi="Arial" w:hint="default"/>
      </w:rPr>
    </w:lvl>
  </w:abstractNum>
  <w:abstractNum w:abstractNumId="26">
    <w:nsid w:val="7D0330B6"/>
    <w:multiLevelType w:val="hybridMultilevel"/>
    <w:tmpl w:val="F768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F03694B"/>
    <w:multiLevelType w:val="hybridMultilevel"/>
    <w:tmpl w:val="17DCB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25"/>
  </w:num>
  <w:num w:numId="5">
    <w:abstractNumId w:val="5"/>
  </w:num>
  <w:num w:numId="6">
    <w:abstractNumId w:val="2"/>
  </w:num>
  <w:num w:numId="7">
    <w:abstractNumId w:val="23"/>
  </w:num>
  <w:num w:numId="8">
    <w:abstractNumId w:val="20"/>
  </w:num>
  <w:num w:numId="9">
    <w:abstractNumId w:val="13"/>
  </w:num>
  <w:num w:numId="10">
    <w:abstractNumId w:val="10"/>
  </w:num>
  <w:num w:numId="11">
    <w:abstractNumId w:val="27"/>
  </w:num>
  <w:num w:numId="12">
    <w:abstractNumId w:val="18"/>
  </w:num>
  <w:num w:numId="13">
    <w:abstractNumId w:val="16"/>
  </w:num>
  <w:num w:numId="14">
    <w:abstractNumId w:val="0"/>
  </w:num>
  <w:num w:numId="15">
    <w:abstractNumId w:val="1"/>
  </w:num>
  <w:num w:numId="16">
    <w:abstractNumId w:val="14"/>
  </w:num>
  <w:num w:numId="17">
    <w:abstractNumId w:val="11"/>
  </w:num>
  <w:num w:numId="18">
    <w:abstractNumId w:val="8"/>
  </w:num>
  <w:num w:numId="19">
    <w:abstractNumId w:val="19"/>
  </w:num>
  <w:num w:numId="20">
    <w:abstractNumId w:val="22"/>
  </w:num>
  <w:num w:numId="21">
    <w:abstractNumId w:val="9"/>
  </w:num>
  <w:num w:numId="22">
    <w:abstractNumId w:val="21"/>
  </w:num>
  <w:num w:numId="23">
    <w:abstractNumId w:val="4"/>
  </w:num>
  <w:num w:numId="24">
    <w:abstractNumId w:val="15"/>
  </w:num>
  <w:num w:numId="25">
    <w:abstractNumId w:val="26"/>
  </w:num>
  <w:num w:numId="26">
    <w:abstractNumId w:val="7"/>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43"/>
    <w:rsid w:val="00047A81"/>
    <w:rsid w:val="000523AA"/>
    <w:rsid w:val="00072AE2"/>
    <w:rsid w:val="0015588E"/>
    <w:rsid w:val="00254F6C"/>
    <w:rsid w:val="00280B17"/>
    <w:rsid w:val="003366CA"/>
    <w:rsid w:val="003E4CB2"/>
    <w:rsid w:val="0057166E"/>
    <w:rsid w:val="005D6371"/>
    <w:rsid w:val="00656464"/>
    <w:rsid w:val="0068711D"/>
    <w:rsid w:val="006D6043"/>
    <w:rsid w:val="006F0DF4"/>
    <w:rsid w:val="00771FA7"/>
    <w:rsid w:val="00863D37"/>
    <w:rsid w:val="008A4F52"/>
    <w:rsid w:val="00903A58"/>
    <w:rsid w:val="0092707C"/>
    <w:rsid w:val="009775E6"/>
    <w:rsid w:val="00A5588F"/>
    <w:rsid w:val="00B24266"/>
    <w:rsid w:val="00B92B0D"/>
    <w:rsid w:val="00C94735"/>
    <w:rsid w:val="00D11458"/>
    <w:rsid w:val="00D553BF"/>
    <w:rsid w:val="00D755A1"/>
    <w:rsid w:val="00E21BF4"/>
    <w:rsid w:val="00E478F8"/>
    <w:rsid w:val="00E71CF6"/>
    <w:rsid w:val="00F12D34"/>
    <w:rsid w:val="00F86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A7"/>
    <w:pPr>
      <w:spacing w:after="160" w:line="259" w:lineRule="auto"/>
    </w:pPr>
    <w:rPr>
      <w:rFonts w:ascii="Calibri" w:eastAsia="Calibri" w:hAnsi="Calibri" w:cs="Times New Roman"/>
    </w:rPr>
  </w:style>
  <w:style w:type="paragraph" w:styleId="Ttulo1">
    <w:name w:val="heading 1"/>
    <w:basedOn w:val="Normal"/>
    <w:next w:val="Normal"/>
    <w:link w:val="Ttulo1Char"/>
    <w:uiPriority w:val="9"/>
    <w:qFormat/>
    <w:rsid w:val="003E4CB2"/>
    <w:pPr>
      <w:keepNext/>
      <w:keepLines/>
      <w:numPr>
        <w:numId w:val="22"/>
      </w:numPr>
      <w:spacing w:beforeLines="120" w:before="288" w:after="0" w:line="240" w:lineRule="auto"/>
      <w:jc w:val="both"/>
      <w:outlineLvl w:val="0"/>
    </w:pPr>
    <w:rPr>
      <w:rFonts w:asciiTheme="majorHAnsi" w:eastAsiaTheme="majorEastAsia" w:hAnsiTheme="majorHAnsi" w:cstheme="majorBidi"/>
      <w:b/>
      <w:color w:val="ED7D31"/>
      <w:sz w:val="20"/>
      <w:szCs w:val="20"/>
    </w:rPr>
  </w:style>
  <w:style w:type="paragraph" w:styleId="Ttulo2">
    <w:name w:val="heading 2"/>
    <w:basedOn w:val="Normal"/>
    <w:next w:val="Normal"/>
    <w:link w:val="Ttulo2Char"/>
    <w:autoRedefine/>
    <w:uiPriority w:val="9"/>
    <w:unhideWhenUsed/>
    <w:qFormat/>
    <w:rsid w:val="00E478F8"/>
    <w:pPr>
      <w:keepNext/>
      <w:keepLines/>
      <w:numPr>
        <w:ilvl w:val="1"/>
        <w:numId w:val="22"/>
      </w:numPr>
      <w:spacing w:before="40" w:line="276" w:lineRule="auto"/>
      <w:ind w:left="-284" w:right="-568" w:firstLine="0"/>
      <w:outlineLvl w:val="1"/>
    </w:pPr>
    <w:rPr>
      <w:rFonts w:ascii="Arial" w:eastAsiaTheme="majorEastAsia" w:hAnsi="Arial" w:cs="Arial"/>
      <w:b/>
    </w:rPr>
  </w:style>
  <w:style w:type="paragraph" w:styleId="Ttulo3">
    <w:name w:val="heading 3"/>
    <w:basedOn w:val="Normal"/>
    <w:next w:val="Normal"/>
    <w:link w:val="Ttulo3Char"/>
    <w:uiPriority w:val="9"/>
    <w:unhideWhenUsed/>
    <w:qFormat/>
    <w:rsid w:val="003E4CB2"/>
    <w:pPr>
      <w:keepNext/>
      <w:keepLines/>
      <w:numPr>
        <w:ilvl w:val="2"/>
        <w:numId w:val="22"/>
      </w:numPr>
      <w:spacing w:before="40" w:after="0"/>
      <w:outlineLvl w:val="2"/>
    </w:pPr>
    <w:rPr>
      <w:rFonts w:asciiTheme="majorHAnsi" w:eastAsiaTheme="majorEastAsia" w:hAnsiTheme="majorHAnsi" w:cstheme="majorBidi"/>
      <w:b/>
      <w:color w:val="ED7D31"/>
      <w:sz w:val="20"/>
      <w:szCs w:val="24"/>
    </w:rPr>
  </w:style>
  <w:style w:type="paragraph" w:styleId="Ttulo4">
    <w:name w:val="heading 4"/>
    <w:basedOn w:val="Normal"/>
    <w:next w:val="Normal"/>
    <w:link w:val="Ttulo4Char"/>
    <w:uiPriority w:val="9"/>
    <w:semiHidden/>
    <w:unhideWhenUsed/>
    <w:qFormat/>
    <w:rsid w:val="003E4CB2"/>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sz w:val="20"/>
    </w:rPr>
  </w:style>
  <w:style w:type="paragraph" w:styleId="Ttulo5">
    <w:name w:val="heading 5"/>
    <w:basedOn w:val="Normal"/>
    <w:next w:val="Normal"/>
    <w:link w:val="Ttulo5Char"/>
    <w:uiPriority w:val="9"/>
    <w:semiHidden/>
    <w:unhideWhenUsed/>
    <w:qFormat/>
    <w:rsid w:val="003E4CB2"/>
    <w:pPr>
      <w:keepNext/>
      <w:keepLines/>
      <w:numPr>
        <w:ilvl w:val="4"/>
        <w:numId w:val="22"/>
      </w:numPr>
      <w:spacing w:before="40" w:after="0"/>
      <w:outlineLvl w:val="4"/>
    </w:pPr>
    <w:rPr>
      <w:rFonts w:asciiTheme="majorHAnsi" w:eastAsiaTheme="majorEastAsia" w:hAnsiTheme="majorHAnsi" w:cstheme="majorBidi"/>
      <w:color w:val="365F91" w:themeColor="accent1" w:themeShade="BF"/>
      <w:sz w:val="20"/>
    </w:rPr>
  </w:style>
  <w:style w:type="paragraph" w:styleId="Ttulo6">
    <w:name w:val="heading 6"/>
    <w:basedOn w:val="Normal"/>
    <w:next w:val="Normal"/>
    <w:link w:val="Ttulo6Char"/>
    <w:uiPriority w:val="9"/>
    <w:semiHidden/>
    <w:unhideWhenUsed/>
    <w:qFormat/>
    <w:rsid w:val="003E4CB2"/>
    <w:pPr>
      <w:keepNext/>
      <w:keepLines/>
      <w:numPr>
        <w:ilvl w:val="5"/>
        <w:numId w:val="22"/>
      </w:numPr>
      <w:spacing w:before="40" w:after="0"/>
      <w:outlineLvl w:val="5"/>
    </w:pPr>
    <w:rPr>
      <w:rFonts w:asciiTheme="majorHAnsi" w:eastAsiaTheme="majorEastAsia" w:hAnsiTheme="majorHAnsi" w:cstheme="majorBidi"/>
      <w:color w:val="243F60" w:themeColor="accent1" w:themeShade="7F"/>
      <w:sz w:val="20"/>
    </w:rPr>
  </w:style>
  <w:style w:type="paragraph" w:styleId="Ttulo7">
    <w:name w:val="heading 7"/>
    <w:basedOn w:val="Normal"/>
    <w:next w:val="Normal"/>
    <w:link w:val="Ttulo7Char"/>
    <w:uiPriority w:val="9"/>
    <w:semiHidden/>
    <w:unhideWhenUsed/>
    <w:qFormat/>
    <w:rsid w:val="003E4CB2"/>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sz w:val="20"/>
    </w:rPr>
  </w:style>
  <w:style w:type="paragraph" w:styleId="Ttulo8">
    <w:name w:val="heading 8"/>
    <w:basedOn w:val="Normal"/>
    <w:next w:val="Normal"/>
    <w:link w:val="Ttulo8Char"/>
    <w:uiPriority w:val="9"/>
    <w:semiHidden/>
    <w:unhideWhenUsed/>
    <w:qFormat/>
    <w:rsid w:val="003E4CB2"/>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E4CB2"/>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CB2"/>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rsid w:val="00E478F8"/>
    <w:rPr>
      <w:rFonts w:ascii="Arial" w:eastAsiaTheme="majorEastAsia" w:hAnsi="Arial" w:cs="Arial"/>
      <w:b/>
    </w:rPr>
  </w:style>
  <w:style w:type="character" w:customStyle="1" w:styleId="Ttulo3Char">
    <w:name w:val="Título 3 Char"/>
    <w:basedOn w:val="Fontepargpadro"/>
    <w:link w:val="Ttulo3"/>
    <w:uiPriority w:val="9"/>
    <w:rsid w:val="003E4CB2"/>
    <w:rPr>
      <w:rFonts w:asciiTheme="majorHAnsi" w:eastAsiaTheme="majorEastAsia" w:hAnsiTheme="majorHAnsi" w:cstheme="majorBidi"/>
      <w:b/>
      <w:color w:val="ED7D31"/>
      <w:sz w:val="20"/>
      <w:szCs w:val="24"/>
    </w:rPr>
  </w:style>
  <w:style w:type="character" w:customStyle="1" w:styleId="Ttulo4Char">
    <w:name w:val="Título 4 Char"/>
    <w:basedOn w:val="Fontepargpadro"/>
    <w:link w:val="Ttulo4"/>
    <w:uiPriority w:val="9"/>
    <w:semiHidden/>
    <w:rsid w:val="003E4CB2"/>
    <w:rPr>
      <w:rFonts w:asciiTheme="majorHAnsi" w:eastAsiaTheme="majorEastAsia" w:hAnsiTheme="majorHAnsi" w:cstheme="majorBidi"/>
      <w:i/>
      <w:iCs/>
      <w:color w:val="365F91" w:themeColor="accent1" w:themeShade="BF"/>
      <w:sz w:val="20"/>
    </w:rPr>
  </w:style>
  <w:style w:type="character" w:customStyle="1" w:styleId="Ttulo5Char">
    <w:name w:val="Título 5 Char"/>
    <w:basedOn w:val="Fontepargpadro"/>
    <w:link w:val="Ttulo5"/>
    <w:uiPriority w:val="9"/>
    <w:semiHidden/>
    <w:rsid w:val="003E4CB2"/>
    <w:rPr>
      <w:rFonts w:asciiTheme="majorHAnsi" w:eastAsiaTheme="majorEastAsia" w:hAnsiTheme="majorHAnsi" w:cstheme="majorBidi"/>
      <w:color w:val="365F91" w:themeColor="accent1" w:themeShade="BF"/>
      <w:sz w:val="20"/>
    </w:rPr>
  </w:style>
  <w:style w:type="character" w:customStyle="1" w:styleId="Ttulo6Char">
    <w:name w:val="Título 6 Char"/>
    <w:basedOn w:val="Fontepargpadro"/>
    <w:link w:val="Ttulo6"/>
    <w:uiPriority w:val="9"/>
    <w:semiHidden/>
    <w:rsid w:val="003E4CB2"/>
    <w:rPr>
      <w:rFonts w:asciiTheme="majorHAnsi" w:eastAsiaTheme="majorEastAsia" w:hAnsiTheme="majorHAnsi" w:cstheme="majorBidi"/>
      <w:color w:val="243F60" w:themeColor="accent1" w:themeShade="7F"/>
      <w:sz w:val="20"/>
    </w:rPr>
  </w:style>
  <w:style w:type="character" w:customStyle="1" w:styleId="Ttulo7Char">
    <w:name w:val="Título 7 Char"/>
    <w:basedOn w:val="Fontepargpadro"/>
    <w:link w:val="Ttulo7"/>
    <w:uiPriority w:val="9"/>
    <w:semiHidden/>
    <w:rsid w:val="003E4CB2"/>
    <w:rPr>
      <w:rFonts w:asciiTheme="majorHAnsi" w:eastAsiaTheme="majorEastAsia" w:hAnsiTheme="majorHAnsi" w:cstheme="majorBidi"/>
      <w:i/>
      <w:iCs/>
      <w:color w:val="243F60" w:themeColor="accent1" w:themeShade="7F"/>
      <w:sz w:val="20"/>
    </w:rPr>
  </w:style>
  <w:style w:type="character" w:customStyle="1" w:styleId="Ttulo8Char">
    <w:name w:val="Título 8 Char"/>
    <w:basedOn w:val="Fontepargpadro"/>
    <w:link w:val="Ttulo8"/>
    <w:uiPriority w:val="9"/>
    <w:semiHidden/>
    <w:rsid w:val="003E4CB2"/>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E4CB2"/>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59"/>
    <w:rsid w:val="006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D6043"/>
  </w:style>
  <w:style w:type="paragraph" w:styleId="Rodap">
    <w:name w:val="footer"/>
    <w:basedOn w:val="Normal"/>
    <w:link w:val="Rodap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D6043"/>
  </w:style>
  <w:style w:type="character" w:styleId="Hyperlink">
    <w:name w:val="Hyperlink"/>
    <w:uiPriority w:val="99"/>
    <w:unhideWhenUsed/>
    <w:rsid w:val="00771FA7"/>
    <w:rPr>
      <w:color w:val="0563C1"/>
      <w:u w:val="single"/>
    </w:rPr>
  </w:style>
  <w:style w:type="paragraph" w:styleId="Textodebalo">
    <w:name w:val="Balloon Text"/>
    <w:basedOn w:val="Normal"/>
    <w:link w:val="TextodebaloChar"/>
    <w:uiPriority w:val="99"/>
    <w:semiHidden/>
    <w:unhideWhenUsed/>
    <w:rsid w:val="003E4CB2"/>
    <w:pPr>
      <w:spacing w:after="0" w:line="240" w:lineRule="auto"/>
    </w:pPr>
    <w:rPr>
      <w:rFonts w:ascii="Segoe UI" w:eastAsiaTheme="minorHAnsi" w:hAnsi="Segoe UI" w:cs="Segoe UI"/>
      <w:color w:val="7F7F7F" w:themeColor="text1" w:themeTint="80"/>
      <w:sz w:val="18"/>
      <w:szCs w:val="18"/>
    </w:rPr>
  </w:style>
  <w:style w:type="character" w:customStyle="1" w:styleId="TextodebaloChar">
    <w:name w:val="Texto de balão Char"/>
    <w:basedOn w:val="Fontepargpadro"/>
    <w:link w:val="Textodebalo"/>
    <w:uiPriority w:val="99"/>
    <w:semiHidden/>
    <w:rsid w:val="003E4CB2"/>
    <w:rPr>
      <w:rFonts w:ascii="Segoe UI" w:hAnsi="Segoe UI" w:cs="Segoe UI"/>
      <w:color w:val="7F7F7F" w:themeColor="text1" w:themeTint="80"/>
      <w:sz w:val="18"/>
      <w:szCs w:val="18"/>
    </w:rPr>
  </w:style>
  <w:style w:type="paragraph" w:styleId="Sumrio1">
    <w:name w:val="toc 1"/>
    <w:basedOn w:val="Normal"/>
    <w:next w:val="Normal"/>
    <w:autoRedefine/>
    <w:uiPriority w:val="39"/>
    <w:unhideWhenUsed/>
    <w:rsid w:val="003E4CB2"/>
    <w:pPr>
      <w:spacing w:after="100"/>
    </w:pPr>
    <w:rPr>
      <w:rFonts w:asciiTheme="majorHAnsi" w:eastAsiaTheme="minorHAnsi" w:hAnsiTheme="majorHAnsi" w:cstheme="minorBidi"/>
      <w:color w:val="7F7F7F" w:themeColor="text1" w:themeTint="80"/>
      <w:sz w:val="20"/>
    </w:rPr>
  </w:style>
  <w:style w:type="paragraph" w:styleId="CabealhodoSumrio">
    <w:name w:val="TOC Heading"/>
    <w:basedOn w:val="Ttulo1"/>
    <w:next w:val="Normal"/>
    <w:uiPriority w:val="39"/>
    <w:unhideWhenUsed/>
    <w:qFormat/>
    <w:rsid w:val="003E4CB2"/>
    <w:pPr>
      <w:outlineLvl w:val="9"/>
    </w:pPr>
    <w:rPr>
      <w:b w:val="0"/>
      <w:color w:val="365F91" w:themeColor="accent1" w:themeShade="BF"/>
      <w:sz w:val="32"/>
      <w:lang w:eastAsia="pt-BR"/>
    </w:rPr>
  </w:style>
  <w:style w:type="paragraph" w:styleId="Sumrio2">
    <w:name w:val="toc 2"/>
    <w:basedOn w:val="Normal"/>
    <w:next w:val="Normal"/>
    <w:autoRedefine/>
    <w:uiPriority w:val="39"/>
    <w:unhideWhenUsed/>
    <w:rsid w:val="003E4CB2"/>
    <w:pPr>
      <w:spacing w:after="100"/>
      <w:ind w:left="220"/>
    </w:pPr>
    <w:rPr>
      <w:rFonts w:asciiTheme="majorHAnsi" w:eastAsiaTheme="minorHAnsi" w:hAnsiTheme="majorHAnsi" w:cstheme="minorBidi"/>
      <w:color w:val="7F7F7F" w:themeColor="text1" w:themeTint="80"/>
      <w:sz w:val="20"/>
    </w:rPr>
  </w:style>
  <w:style w:type="paragraph" w:customStyle="1" w:styleId="Default">
    <w:name w:val="Default"/>
    <w:rsid w:val="003E4CB2"/>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3E4CB2"/>
    <w:pPr>
      <w:ind w:left="720"/>
      <w:contextualSpacing/>
    </w:pPr>
    <w:rPr>
      <w:rFonts w:asciiTheme="majorHAnsi" w:eastAsiaTheme="minorHAnsi" w:hAnsiTheme="majorHAnsi" w:cstheme="minorBidi"/>
      <w:color w:val="7F7F7F" w:themeColor="text1" w:themeTint="80"/>
      <w:sz w:val="20"/>
    </w:rPr>
  </w:style>
  <w:style w:type="character" w:customStyle="1" w:styleId="apple-converted-space">
    <w:name w:val="apple-converted-space"/>
    <w:basedOn w:val="Fontepargpadro"/>
    <w:rsid w:val="003E4CB2"/>
  </w:style>
  <w:style w:type="paragraph" w:styleId="Sumrio3">
    <w:name w:val="toc 3"/>
    <w:basedOn w:val="Normal"/>
    <w:next w:val="Normal"/>
    <w:autoRedefine/>
    <w:uiPriority w:val="39"/>
    <w:unhideWhenUsed/>
    <w:rsid w:val="00280B17"/>
    <w:pPr>
      <w:tabs>
        <w:tab w:val="left" w:pos="1100"/>
        <w:tab w:val="right" w:leader="dot" w:pos="9061"/>
      </w:tabs>
      <w:spacing w:after="100" w:line="276" w:lineRule="auto"/>
      <w:ind w:left="400"/>
    </w:pPr>
    <w:rPr>
      <w:rFonts w:asciiTheme="majorHAnsi" w:eastAsiaTheme="minorHAnsi" w:hAnsiTheme="majorHAnsi" w:cstheme="minorBidi"/>
      <w:color w:val="7F7F7F" w:themeColor="text1" w:themeTint="80"/>
      <w:sz w:val="20"/>
    </w:rPr>
  </w:style>
  <w:style w:type="paragraph" w:styleId="Reviso">
    <w:name w:val="Revision"/>
    <w:hidden/>
    <w:uiPriority w:val="99"/>
    <w:semiHidden/>
    <w:rsid w:val="00280B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A7"/>
    <w:pPr>
      <w:spacing w:after="160" w:line="259" w:lineRule="auto"/>
    </w:pPr>
    <w:rPr>
      <w:rFonts w:ascii="Calibri" w:eastAsia="Calibri" w:hAnsi="Calibri" w:cs="Times New Roman"/>
    </w:rPr>
  </w:style>
  <w:style w:type="paragraph" w:styleId="Ttulo1">
    <w:name w:val="heading 1"/>
    <w:basedOn w:val="Normal"/>
    <w:next w:val="Normal"/>
    <w:link w:val="Ttulo1Char"/>
    <w:uiPriority w:val="9"/>
    <w:qFormat/>
    <w:rsid w:val="003E4CB2"/>
    <w:pPr>
      <w:keepNext/>
      <w:keepLines/>
      <w:numPr>
        <w:numId w:val="22"/>
      </w:numPr>
      <w:spacing w:beforeLines="120" w:before="288" w:after="0" w:line="240" w:lineRule="auto"/>
      <w:jc w:val="both"/>
      <w:outlineLvl w:val="0"/>
    </w:pPr>
    <w:rPr>
      <w:rFonts w:asciiTheme="majorHAnsi" w:eastAsiaTheme="majorEastAsia" w:hAnsiTheme="majorHAnsi" w:cstheme="majorBidi"/>
      <w:b/>
      <w:color w:val="ED7D31"/>
      <w:sz w:val="20"/>
      <w:szCs w:val="20"/>
    </w:rPr>
  </w:style>
  <w:style w:type="paragraph" w:styleId="Ttulo2">
    <w:name w:val="heading 2"/>
    <w:basedOn w:val="Normal"/>
    <w:next w:val="Normal"/>
    <w:link w:val="Ttulo2Char"/>
    <w:autoRedefine/>
    <w:uiPriority w:val="9"/>
    <w:unhideWhenUsed/>
    <w:qFormat/>
    <w:rsid w:val="00E478F8"/>
    <w:pPr>
      <w:keepNext/>
      <w:keepLines/>
      <w:numPr>
        <w:ilvl w:val="1"/>
        <w:numId w:val="22"/>
      </w:numPr>
      <w:spacing w:before="40" w:line="276" w:lineRule="auto"/>
      <w:ind w:left="-284" w:right="-568" w:firstLine="0"/>
      <w:outlineLvl w:val="1"/>
    </w:pPr>
    <w:rPr>
      <w:rFonts w:ascii="Arial" w:eastAsiaTheme="majorEastAsia" w:hAnsi="Arial" w:cs="Arial"/>
      <w:b/>
    </w:rPr>
  </w:style>
  <w:style w:type="paragraph" w:styleId="Ttulo3">
    <w:name w:val="heading 3"/>
    <w:basedOn w:val="Normal"/>
    <w:next w:val="Normal"/>
    <w:link w:val="Ttulo3Char"/>
    <w:uiPriority w:val="9"/>
    <w:unhideWhenUsed/>
    <w:qFormat/>
    <w:rsid w:val="003E4CB2"/>
    <w:pPr>
      <w:keepNext/>
      <w:keepLines/>
      <w:numPr>
        <w:ilvl w:val="2"/>
        <w:numId w:val="22"/>
      </w:numPr>
      <w:spacing w:before="40" w:after="0"/>
      <w:outlineLvl w:val="2"/>
    </w:pPr>
    <w:rPr>
      <w:rFonts w:asciiTheme="majorHAnsi" w:eastAsiaTheme="majorEastAsia" w:hAnsiTheme="majorHAnsi" w:cstheme="majorBidi"/>
      <w:b/>
      <w:color w:val="ED7D31"/>
      <w:sz w:val="20"/>
      <w:szCs w:val="24"/>
    </w:rPr>
  </w:style>
  <w:style w:type="paragraph" w:styleId="Ttulo4">
    <w:name w:val="heading 4"/>
    <w:basedOn w:val="Normal"/>
    <w:next w:val="Normal"/>
    <w:link w:val="Ttulo4Char"/>
    <w:uiPriority w:val="9"/>
    <w:semiHidden/>
    <w:unhideWhenUsed/>
    <w:qFormat/>
    <w:rsid w:val="003E4CB2"/>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sz w:val="20"/>
    </w:rPr>
  </w:style>
  <w:style w:type="paragraph" w:styleId="Ttulo5">
    <w:name w:val="heading 5"/>
    <w:basedOn w:val="Normal"/>
    <w:next w:val="Normal"/>
    <w:link w:val="Ttulo5Char"/>
    <w:uiPriority w:val="9"/>
    <w:semiHidden/>
    <w:unhideWhenUsed/>
    <w:qFormat/>
    <w:rsid w:val="003E4CB2"/>
    <w:pPr>
      <w:keepNext/>
      <w:keepLines/>
      <w:numPr>
        <w:ilvl w:val="4"/>
        <w:numId w:val="22"/>
      </w:numPr>
      <w:spacing w:before="40" w:after="0"/>
      <w:outlineLvl w:val="4"/>
    </w:pPr>
    <w:rPr>
      <w:rFonts w:asciiTheme="majorHAnsi" w:eastAsiaTheme="majorEastAsia" w:hAnsiTheme="majorHAnsi" w:cstheme="majorBidi"/>
      <w:color w:val="365F91" w:themeColor="accent1" w:themeShade="BF"/>
      <w:sz w:val="20"/>
    </w:rPr>
  </w:style>
  <w:style w:type="paragraph" w:styleId="Ttulo6">
    <w:name w:val="heading 6"/>
    <w:basedOn w:val="Normal"/>
    <w:next w:val="Normal"/>
    <w:link w:val="Ttulo6Char"/>
    <w:uiPriority w:val="9"/>
    <w:semiHidden/>
    <w:unhideWhenUsed/>
    <w:qFormat/>
    <w:rsid w:val="003E4CB2"/>
    <w:pPr>
      <w:keepNext/>
      <w:keepLines/>
      <w:numPr>
        <w:ilvl w:val="5"/>
        <w:numId w:val="22"/>
      </w:numPr>
      <w:spacing w:before="40" w:after="0"/>
      <w:outlineLvl w:val="5"/>
    </w:pPr>
    <w:rPr>
      <w:rFonts w:asciiTheme="majorHAnsi" w:eastAsiaTheme="majorEastAsia" w:hAnsiTheme="majorHAnsi" w:cstheme="majorBidi"/>
      <w:color w:val="243F60" w:themeColor="accent1" w:themeShade="7F"/>
      <w:sz w:val="20"/>
    </w:rPr>
  </w:style>
  <w:style w:type="paragraph" w:styleId="Ttulo7">
    <w:name w:val="heading 7"/>
    <w:basedOn w:val="Normal"/>
    <w:next w:val="Normal"/>
    <w:link w:val="Ttulo7Char"/>
    <w:uiPriority w:val="9"/>
    <w:semiHidden/>
    <w:unhideWhenUsed/>
    <w:qFormat/>
    <w:rsid w:val="003E4CB2"/>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sz w:val="20"/>
    </w:rPr>
  </w:style>
  <w:style w:type="paragraph" w:styleId="Ttulo8">
    <w:name w:val="heading 8"/>
    <w:basedOn w:val="Normal"/>
    <w:next w:val="Normal"/>
    <w:link w:val="Ttulo8Char"/>
    <w:uiPriority w:val="9"/>
    <w:semiHidden/>
    <w:unhideWhenUsed/>
    <w:qFormat/>
    <w:rsid w:val="003E4CB2"/>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E4CB2"/>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CB2"/>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rsid w:val="00E478F8"/>
    <w:rPr>
      <w:rFonts w:ascii="Arial" w:eastAsiaTheme="majorEastAsia" w:hAnsi="Arial" w:cs="Arial"/>
      <w:b/>
    </w:rPr>
  </w:style>
  <w:style w:type="character" w:customStyle="1" w:styleId="Ttulo3Char">
    <w:name w:val="Título 3 Char"/>
    <w:basedOn w:val="Fontepargpadro"/>
    <w:link w:val="Ttulo3"/>
    <w:uiPriority w:val="9"/>
    <w:rsid w:val="003E4CB2"/>
    <w:rPr>
      <w:rFonts w:asciiTheme="majorHAnsi" w:eastAsiaTheme="majorEastAsia" w:hAnsiTheme="majorHAnsi" w:cstheme="majorBidi"/>
      <w:b/>
      <w:color w:val="ED7D31"/>
      <w:sz w:val="20"/>
      <w:szCs w:val="24"/>
    </w:rPr>
  </w:style>
  <w:style w:type="character" w:customStyle="1" w:styleId="Ttulo4Char">
    <w:name w:val="Título 4 Char"/>
    <w:basedOn w:val="Fontepargpadro"/>
    <w:link w:val="Ttulo4"/>
    <w:uiPriority w:val="9"/>
    <w:semiHidden/>
    <w:rsid w:val="003E4CB2"/>
    <w:rPr>
      <w:rFonts w:asciiTheme="majorHAnsi" w:eastAsiaTheme="majorEastAsia" w:hAnsiTheme="majorHAnsi" w:cstheme="majorBidi"/>
      <w:i/>
      <w:iCs/>
      <w:color w:val="365F91" w:themeColor="accent1" w:themeShade="BF"/>
      <w:sz w:val="20"/>
    </w:rPr>
  </w:style>
  <w:style w:type="character" w:customStyle="1" w:styleId="Ttulo5Char">
    <w:name w:val="Título 5 Char"/>
    <w:basedOn w:val="Fontepargpadro"/>
    <w:link w:val="Ttulo5"/>
    <w:uiPriority w:val="9"/>
    <w:semiHidden/>
    <w:rsid w:val="003E4CB2"/>
    <w:rPr>
      <w:rFonts w:asciiTheme="majorHAnsi" w:eastAsiaTheme="majorEastAsia" w:hAnsiTheme="majorHAnsi" w:cstheme="majorBidi"/>
      <w:color w:val="365F91" w:themeColor="accent1" w:themeShade="BF"/>
      <w:sz w:val="20"/>
    </w:rPr>
  </w:style>
  <w:style w:type="character" w:customStyle="1" w:styleId="Ttulo6Char">
    <w:name w:val="Título 6 Char"/>
    <w:basedOn w:val="Fontepargpadro"/>
    <w:link w:val="Ttulo6"/>
    <w:uiPriority w:val="9"/>
    <w:semiHidden/>
    <w:rsid w:val="003E4CB2"/>
    <w:rPr>
      <w:rFonts w:asciiTheme="majorHAnsi" w:eastAsiaTheme="majorEastAsia" w:hAnsiTheme="majorHAnsi" w:cstheme="majorBidi"/>
      <w:color w:val="243F60" w:themeColor="accent1" w:themeShade="7F"/>
      <w:sz w:val="20"/>
    </w:rPr>
  </w:style>
  <w:style w:type="character" w:customStyle="1" w:styleId="Ttulo7Char">
    <w:name w:val="Título 7 Char"/>
    <w:basedOn w:val="Fontepargpadro"/>
    <w:link w:val="Ttulo7"/>
    <w:uiPriority w:val="9"/>
    <w:semiHidden/>
    <w:rsid w:val="003E4CB2"/>
    <w:rPr>
      <w:rFonts w:asciiTheme="majorHAnsi" w:eastAsiaTheme="majorEastAsia" w:hAnsiTheme="majorHAnsi" w:cstheme="majorBidi"/>
      <w:i/>
      <w:iCs/>
      <w:color w:val="243F60" w:themeColor="accent1" w:themeShade="7F"/>
      <w:sz w:val="20"/>
    </w:rPr>
  </w:style>
  <w:style w:type="character" w:customStyle="1" w:styleId="Ttulo8Char">
    <w:name w:val="Título 8 Char"/>
    <w:basedOn w:val="Fontepargpadro"/>
    <w:link w:val="Ttulo8"/>
    <w:uiPriority w:val="9"/>
    <w:semiHidden/>
    <w:rsid w:val="003E4CB2"/>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E4CB2"/>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59"/>
    <w:rsid w:val="006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D6043"/>
  </w:style>
  <w:style w:type="paragraph" w:styleId="Rodap">
    <w:name w:val="footer"/>
    <w:basedOn w:val="Normal"/>
    <w:link w:val="Rodap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D6043"/>
  </w:style>
  <w:style w:type="character" w:styleId="Hyperlink">
    <w:name w:val="Hyperlink"/>
    <w:uiPriority w:val="99"/>
    <w:unhideWhenUsed/>
    <w:rsid w:val="00771FA7"/>
    <w:rPr>
      <w:color w:val="0563C1"/>
      <w:u w:val="single"/>
    </w:rPr>
  </w:style>
  <w:style w:type="paragraph" w:styleId="Textodebalo">
    <w:name w:val="Balloon Text"/>
    <w:basedOn w:val="Normal"/>
    <w:link w:val="TextodebaloChar"/>
    <w:uiPriority w:val="99"/>
    <w:semiHidden/>
    <w:unhideWhenUsed/>
    <w:rsid w:val="003E4CB2"/>
    <w:pPr>
      <w:spacing w:after="0" w:line="240" w:lineRule="auto"/>
    </w:pPr>
    <w:rPr>
      <w:rFonts w:ascii="Segoe UI" w:eastAsiaTheme="minorHAnsi" w:hAnsi="Segoe UI" w:cs="Segoe UI"/>
      <w:color w:val="7F7F7F" w:themeColor="text1" w:themeTint="80"/>
      <w:sz w:val="18"/>
      <w:szCs w:val="18"/>
    </w:rPr>
  </w:style>
  <w:style w:type="character" w:customStyle="1" w:styleId="TextodebaloChar">
    <w:name w:val="Texto de balão Char"/>
    <w:basedOn w:val="Fontepargpadro"/>
    <w:link w:val="Textodebalo"/>
    <w:uiPriority w:val="99"/>
    <w:semiHidden/>
    <w:rsid w:val="003E4CB2"/>
    <w:rPr>
      <w:rFonts w:ascii="Segoe UI" w:hAnsi="Segoe UI" w:cs="Segoe UI"/>
      <w:color w:val="7F7F7F" w:themeColor="text1" w:themeTint="80"/>
      <w:sz w:val="18"/>
      <w:szCs w:val="18"/>
    </w:rPr>
  </w:style>
  <w:style w:type="paragraph" w:styleId="Sumrio1">
    <w:name w:val="toc 1"/>
    <w:basedOn w:val="Normal"/>
    <w:next w:val="Normal"/>
    <w:autoRedefine/>
    <w:uiPriority w:val="39"/>
    <w:unhideWhenUsed/>
    <w:rsid w:val="003E4CB2"/>
    <w:pPr>
      <w:spacing w:after="100"/>
    </w:pPr>
    <w:rPr>
      <w:rFonts w:asciiTheme="majorHAnsi" w:eastAsiaTheme="minorHAnsi" w:hAnsiTheme="majorHAnsi" w:cstheme="minorBidi"/>
      <w:color w:val="7F7F7F" w:themeColor="text1" w:themeTint="80"/>
      <w:sz w:val="20"/>
    </w:rPr>
  </w:style>
  <w:style w:type="paragraph" w:styleId="CabealhodoSumrio">
    <w:name w:val="TOC Heading"/>
    <w:basedOn w:val="Ttulo1"/>
    <w:next w:val="Normal"/>
    <w:uiPriority w:val="39"/>
    <w:unhideWhenUsed/>
    <w:qFormat/>
    <w:rsid w:val="003E4CB2"/>
    <w:pPr>
      <w:outlineLvl w:val="9"/>
    </w:pPr>
    <w:rPr>
      <w:b w:val="0"/>
      <w:color w:val="365F91" w:themeColor="accent1" w:themeShade="BF"/>
      <w:sz w:val="32"/>
      <w:lang w:eastAsia="pt-BR"/>
    </w:rPr>
  </w:style>
  <w:style w:type="paragraph" w:styleId="Sumrio2">
    <w:name w:val="toc 2"/>
    <w:basedOn w:val="Normal"/>
    <w:next w:val="Normal"/>
    <w:autoRedefine/>
    <w:uiPriority w:val="39"/>
    <w:unhideWhenUsed/>
    <w:rsid w:val="003E4CB2"/>
    <w:pPr>
      <w:spacing w:after="100"/>
      <w:ind w:left="220"/>
    </w:pPr>
    <w:rPr>
      <w:rFonts w:asciiTheme="majorHAnsi" w:eastAsiaTheme="minorHAnsi" w:hAnsiTheme="majorHAnsi" w:cstheme="minorBidi"/>
      <w:color w:val="7F7F7F" w:themeColor="text1" w:themeTint="80"/>
      <w:sz w:val="20"/>
    </w:rPr>
  </w:style>
  <w:style w:type="paragraph" w:customStyle="1" w:styleId="Default">
    <w:name w:val="Default"/>
    <w:rsid w:val="003E4CB2"/>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3E4CB2"/>
    <w:pPr>
      <w:ind w:left="720"/>
      <w:contextualSpacing/>
    </w:pPr>
    <w:rPr>
      <w:rFonts w:asciiTheme="majorHAnsi" w:eastAsiaTheme="minorHAnsi" w:hAnsiTheme="majorHAnsi" w:cstheme="minorBidi"/>
      <w:color w:val="7F7F7F" w:themeColor="text1" w:themeTint="80"/>
      <w:sz w:val="20"/>
    </w:rPr>
  </w:style>
  <w:style w:type="character" w:customStyle="1" w:styleId="apple-converted-space">
    <w:name w:val="apple-converted-space"/>
    <w:basedOn w:val="Fontepargpadro"/>
    <w:rsid w:val="003E4CB2"/>
  </w:style>
  <w:style w:type="paragraph" w:styleId="Sumrio3">
    <w:name w:val="toc 3"/>
    <w:basedOn w:val="Normal"/>
    <w:next w:val="Normal"/>
    <w:autoRedefine/>
    <w:uiPriority w:val="39"/>
    <w:unhideWhenUsed/>
    <w:rsid w:val="00280B17"/>
    <w:pPr>
      <w:tabs>
        <w:tab w:val="left" w:pos="1100"/>
        <w:tab w:val="right" w:leader="dot" w:pos="9061"/>
      </w:tabs>
      <w:spacing w:after="100" w:line="276" w:lineRule="auto"/>
      <w:ind w:left="400"/>
    </w:pPr>
    <w:rPr>
      <w:rFonts w:asciiTheme="majorHAnsi" w:eastAsiaTheme="minorHAnsi" w:hAnsiTheme="majorHAnsi" w:cstheme="minorBidi"/>
      <w:color w:val="7F7F7F" w:themeColor="text1" w:themeTint="80"/>
      <w:sz w:val="20"/>
    </w:rPr>
  </w:style>
  <w:style w:type="paragraph" w:styleId="Reviso">
    <w:name w:val="Revision"/>
    <w:hidden/>
    <w:uiPriority w:val="99"/>
    <w:semiHidden/>
    <w:rsid w:val="00280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revnas.dir@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31</Pages>
  <Words>8092</Words>
  <Characters>43701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PREV</cp:lastModifiedBy>
  <cp:revision>5</cp:revision>
  <cp:lastPrinted>2018-01-29T13:53:00Z</cp:lastPrinted>
  <dcterms:created xsi:type="dcterms:W3CDTF">2017-12-14T17:05:00Z</dcterms:created>
  <dcterms:modified xsi:type="dcterms:W3CDTF">2018-01-29T13:55:00Z</dcterms:modified>
</cp:coreProperties>
</file>