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86" w:rsidRPr="00132649" w:rsidRDefault="00FA0D86" w:rsidP="00132649">
      <w:pPr>
        <w:autoSpaceDE w:val="0"/>
        <w:autoSpaceDN w:val="0"/>
        <w:adjustRightInd w:val="0"/>
        <w:spacing w:after="0" w:line="240" w:lineRule="auto"/>
        <w:ind w:left="-567" w:right="-568"/>
        <w:jc w:val="center"/>
        <w:rPr>
          <w:rFonts w:cs="Arial-BoldMT"/>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BoldMT"/>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r w:rsidRPr="00132649">
        <w:rPr>
          <w:rFonts w:cs="Arial"/>
          <w:b/>
          <w:bCs/>
          <w:noProof/>
          <w:sz w:val="44"/>
          <w:szCs w:val="44"/>
        </w:rPr>
        <w:t xml:space="preserve">INSTITUTO DE PREVIDÊNCIA SOCIAL DOS SERVIDORES MUNICIPAIS DE </w:t>
      </w:r>
      <w:r w:rsidR="00132649">
        <w:rPr>
          <w:rFonts w:cs="Arial"/>
          <w:b/>
          <w:bCs/>
          <w:noProof/>
          <w:sz w:val="44"/>
          <w:szCs w:val="44"/>
        </w:rPr>
        <w:t xml:space="preserve">                                  </w:t>
      </w:r>
      <w:r w:rsidRPr="00132649">
        <w:rPr>
          <w:rFonts w:cs="Arial"/>
          <w:b/>
          <w:bCs/>
          <w:noProof/>
          <w:sz w:val="44"/>
          <w:szCs w:val="44"/>
        </w:rPr>
        <w:t>NOVA ALVORADA DO SUL</w:t>
      </w: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r w:rsidRPr="00132649">
        <w:rPr>
          <w:rFonts w:cs="Arial"/>
          <w:b/>
          <w:bCs/>
          <w:sz w:val="44"/>
          <w:szCs w:val="44"/>
        </w:rPr>
        <w:t>POLÍTICA DE INVESTIMENTOS</w:t>
      </w: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r w:rsidRPr="00132649">
        <w:rPr>
          <w:rFonts w:cs="Arial"/>
          <w:b/>
          <w:bCs/>
          <w:sz w:val="44"/>
          <w:szCs w:val="44"/>
        </w:rPr>
        <w:t>2017</w:t>
      </w: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p>
    <w:p w:rsidR="00FA0D86" w:rsidRPr="00132649" w:rsidRDefault="00FA0D86" w:rsidP="00132649">
      <w:pPr>
        <w:autoSpaceDE w:val="0"/>
        <w:autoSpaceDN w:val="0"/>
        <w:adjustRightInd w:val="0"/>
        <w:spacing w:after="0" w:line="240" w:lineRule="auto"/>
        <w:ind w:left="-567" w:right="-568"/>
        <w:jc w:val="center"/>
        <w:rPr>
          <w:rFonts w:cs="Arial"/>
          <w:b/>
          <w:bCs/>
          <w:sz w:val="44"/>
          <w:szCs w:val="44"/>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Cs/>
          <w:sz w:val="18"/>
          <w:szCs w:val="18"/>
        </w:rPr>
      </w:pPr>
      <w:r w:rsidRPr="00132649">
        <w:rPr>
          <w:rFonts w:cs="Arial"/>
          <w:bCs/>
          <w:sz w:val="18"/>
          <w:szCs w:val="18"/>
        </w:rPr>
        <w:t>Dezembro de 2016</w:t>
      </w: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jc w:val="center"/>
        <w:rPr>
          <w:rFonts w:cs="Arial"/>
          <w:b/>
          <w:bCs/>
          <w:sz w:val="18"/>
          <w:szCs w:val="18"/>
        </w:rPr>
      </w:pPr>
    </w:p>
    <w:p w:rsidR="00FA0D86" w:rsidRPr="00132649" w:rsidRDefault="00FA0D86" w:rsidP="00132649">
      <w:pPr>
        <w:autoSpaceDE w:val="0"/>
        <w:autoSpaceDN w:val="0"/>
        <w:adjustRightInd w:val="0"/>
        <w:spacing w:after="0" w:line="240" w:lineRule="auto"/>
        <w:ind w:left="-567" w:right="-568"/>
        <w:rPr>
          <w:rFonts w:cs="Arial"/>
          <w:b/>
          <w:bCs/>
          <w:sz w:val="18"/>
          <w:szCs w:val="18"/>
        </w:rPr>
      </w:pPr>
    </w:p>
    <w:p w:rsidR="00563EAB" w:rsidRDefault="00FA0D86" w:rsidP="00132649">
      <w:pPr>
        <w:ind w:left="-567" w:right="-568"/>
        <w:rPr>
          <w:b/>
          <w:bCs/>
          <w:sz w:val="18"/>
          <w:szCs w:val="18"/>
        </w:rPr>
      </w:pPr>
      <w:r w:rsidRPr="00132649">
        <w:rPr>
          <w:b/>
          <w:bCs/>
          <w:sz w:val="18"/>
          <w:szCs w:val="18"/>
        </w:rPr>
        <w:br w:type="page"/>
      </w:r>
    </w:p>
    <w:p w:rsidR="00563EAB" w:rsidRDefault="00563EAB" w:rsidP="00132649">
      <w:pPr>
        <w:ind w:left="-567" w:right="-568"/>
        <w:rPr>
          <w:b/>
          <w:bCs/>
          <w:sz w:val="18"/>
          <w:szCs w:val="18"/>
        </w:rPr>
      </w:pPr>
    </w:p>
    <w:p w:rsidR="00FA0D86" w:rsidRPr="00132649" w:rsidRDefault="00FA0D86" w:rsidP="00563EAB">
      <w:pPr>
        <w:ind w:right="-568"/>
        <w:rPr>
          <w:sz w:val="18"/>
          <w:szCs w:val="18"/>
        </w:rPr>
      </w:pPr>
      <w:r w:rsidRPr="00132649">
        <w:rPr>
          <w:sz w:val="18"/>
          <w:szCs w:val="18"/>
        </w:rPr>
        <w:t>Sumário</w:t>
      </w:r>
    </w:p>
    <w:p w:rsidR="00FA0D86" w:rsidRPr="00132649" w:rsidRDefault="00FA0D86" w:rsidP="00132649">
      <w:pPr>
        <w:ind w:left="-567" w:right="-568"/>
        <w:rPr>
          <w:sz w:val="18"/>
          <w:szCs w:val="18"/>
          <w:lang w:eastAsia="x-none"/>
        </w:rPr>
      </w:pPr>
    </w:p>
    <w:p w:rsidR="00FA0D86" w:rsidRPr="00132649" w:rsidRDefault="00FA0D86" w:rsidP="00132649">
      <w:pPr>
        <w:pStyle w:val="Sumrio1"/>
        <w:ind w:left="-567" w:right="-568" w:firstLine="0"/>
        <w:rPr>
          <w:rFonts w:ascii="Calibri" w:hAnsi="Calibri" w:cs="Times New Roman"/>
          <w:b w:val="0"/>
          <w:bCs w:val="0"/>
          <w:sz w:val="18"/>
          <w:szCs w:val="18"/>
          <w:lang w:eastAsia="pt-BR"/>
        </w:rPr>
      </w:pPr>
      <w:r w:rsidRPr="00132649">
        <w:rPr>
          <w:rFonts w:ascii="Calibri" w:hAnsi="Calibri"/>
          <w:sz w:val="18"/>
          <w:szCs w:val="18"/>
        </w:rPr>
        <w:fldChar w:fldCharType="begin"/>
      </w:r>
      <w:r w:rsidRPr="00132649">
        <w:rPr>
          <w:rFonts w:ascii="Calibri" w:hAnsi="Calibri"/>
          <w:sz w:val="18"/>
          <w:szCs w:val="18"/>
        </w:rPr>
        <w:instrText xml:space="preserve"> TOC \o "1-3" \h \z \u </w:instrText>
      </w:r>
      <w:r w:rsidRPr="00132649">
        <w:rPr>
          <w:rFonts w:ascii="Calibri" w:hAnsi="Calibri"/>
          <w:sz w:val="18"/>
          <w:szCs w:val="18"/>
        </w:rPr>
        <w:fldChar w:fldCharType="separate"/>
      </w:r>
      <w:hyperlink w:anchor="_Toc435259859" w:history="1">
        <w:r w:rsidRPr="00132649">
          <w:rPr>
            <w:rStyle w:val="Hyperlink"/>
            <w:rFonts w:ascii="Calibri" w:hAnsi="Calibri"/>
            <w:color w:val="auto"/>
            <w:sz w:val="18"/>
            <w:szCs w:val="18"/>
          </w:rPr>
          <w:t>1.</w:t>
        </w:r>
        <w:r w:rsidRPr="00132649">
          <w:rPr>
            <w:rFonts w:ascii="Calibri" w:hAnsi="Calibri" w:cs="Times New Roman"/>
            <w:b w:val="0"/>
            <w:bCs w:val="0"/>
            <w:sz w:val="18"/>
            <w:szCs w:val="18"/>
            <w:lang w:eastAsia="pt-BR"/>
          </w:rPr>
          <w:tab/>
        </w:r>
        <w:r w:rsidRPr="00132649">
          <w:rPr>
            <w:rStyle w:val="Hyperlink"/>
            <w:rFonts w:ascii="Calibri" w:hAnsi="Calibri"/>
            <w:color w:val="auto"/>
            <w:sz w:val="18"/>
            <w:szCs w:val="18"/>
          </w:rPr>
          <w:t>Introdução</w:t>
        </w:r>
        <w:r w:rsidRPr="00132649">
          <w:rPr>
            <w:rFonts w:ascii="Calibri" w:hAnsi="Calibri"/>
            <w:webHidden/>
            <w:sz w:val="18"/>
            <w:szCs w:val="18"/>
          </w:rPr>
          <w:tab/>
        </w:r>
        <w:r w:rsidRPr="00132649">
          <w:rPr>
            <w:rFonts w:ascii="Calibri" w:hAnsi="Calibri"/>
            <w:webHidden/>
            <w:sz w:val="18"/>
            <w:szCs w:val="18"/>
          </w:rPr>
          <w:fldChar w:fldCharType="begin"/>
        </w:r>
        <w:r w:rsidRPr="00132649">
          <w:rPr>
            <w:rFonts w:ascii="Calibri" w:hAnsi="Calibri"/>
            <w:webHidden/>
            <w:sz w:val="18"/>
            <w:szCs w:val="18"/>
          </w:rPr>
          <w:instrText xml:space="preserve"> PAGEREF _Toc435259859 \h </w:instrText>
        </w:r>
        <w:r w:rsidRPr="00132649">
          <w:rPr>
            <w:rFonts w:ascii="Calibri" w:hAnsi="Calibri"/>
            <w:webHidden/>
            <w:sz w:val="18"/>
            <w:szCs w:val="18"/>
          </w:rPr>
        </w:r>
        <w:r w:rsidRPr="00132649">
          <w:rPr>
            <w:rFonts w:ascii="Calibri" w:hAnsi="Calibri"/>
            <w:webHidden/>
            <w:sz w:val="18"/>
            <w:szCs w:val="18"/>
          </w:rPr>
          <w:fldChar w:fldCharType="separate"/>
        </w:r>
        <w:r w:rsidR="00286CDD">
          <w:rPr>
            <w:rFonts w:ascii="Calibri" w:hAnsi="Calibri"/>
            <w:webHidden/>
            <w:sz w:val="18"/>
            <w:szCs w:val="18"/>
          </w:rPr>
          <w:t>3</w:t>
        </w:r>
        <w:r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60" w:history="1">
        <w:r w:rsidR="00FA0D86" w:rsidRPr="00132649">
          <w:rPr>
            <w:rStyle w:val="Hyperlink"/>
            <w:rFonts w:ascii="Calibri" w:hAnsi="Calibri"/>
            <w:color w:val="auto"/>
            <w:sz w:val="18"/>
            <w:szCs w:val="18"/>
          </w:rPr>
          <w:t>2.</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Objetivo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_Toc435259860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3</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61" w:history="1">
        <w:r w:rsidR="00FA0D86" w:rsidRPr="00132649">
          <w:rPr>
            <w:rStyle w:val="Hyperlink"/>
            <w:rFonts w:ascii="Calibri" w:hAnsi="Calibri"/>
            <w:color w:val="auto"/>
            <w:sz w:val="18"/>
            <w:szCs w:val="18"/>
          </w:rPr>
          <w:t>3.</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Cenário Econômico para o Exercício de 2017</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_Toc435259861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3</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62" w:history="1">
        <w:r w:rsidR="00FA0D86" w:rsidRPr="00132649">
          <w:rPr>
            <w:rStyle w:val="Hyperlink"/>
            <w:rFonts w:ascii="Calibri" w:hAnsi="Calibri"/>
            <w:color w:val="auto"/>
            <w:sz w:val="18"/>
            <w:szCs w:val="18"/>
          </w:rPr>
          <w:t>4.</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Alocação Estratégica dos Recursos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_Toc435259862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5</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3" w:history="1">
        <w:r w:rsidR="00FA0D86" w:rsidRPr="00132649">
          <w:rPr>
            <w:rStyle w:val="Hyperlink"/>
            <w:rFonts w:ascii="Calibri" w:hAnsi="Calibri" w:cs="Calibri"/>
            <w:color w:val="auto"/>
            <w:sz w:val="18"/>
            <w:szCs w:val="18"/>
            <w:lang w:eastAsia="pt-BR"/>
          </w:rPr>
          <w:t>4.1</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Macroalocação Estratégica</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_Toc435259863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5</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4" w:history="1">
        <w:r w:rsidR="00FA0D86" w:rsidRPr="00132649">
          <w:rPr>
            <w:rStyle w:val="Hyperlink"/>
            <w:rFonts w:ascii="Calibri" w:hAnsi="Calibri"/>
            <w:color w:val="auto"/>
            <w:sz w:val="18"/>
            <w:szCs w:val="18"/>
          </w:rPr>
          <w:t>4.2</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Objetivo de Alocação dos Recursos por Segmento de Aplicação e Carteira</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_Toc435259864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5</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5" w:history="1">
        <w:r w:rsidR="00FA0D86" w:rsidRPr="00132649">
          <w:rPr>
            <w:rStyle w:val="Hyperlink"/>
            <w:rFonts w:ascii="Calibri" w:hAnsi="Calibri" w:cs="Calibri"/>
            <w:color w:val="auto"/>
            <w:sz w:val="18"/>
            <w:szCs w:val="18"/>
            <w:lang w:eastAsia="pt-BR"/>
          </w:rPr>
          <w:t>4.3</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Segmento de Renda Fixa</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_Toc435259865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6</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6" w:history="1">
        <w:r w:rsidR="00FA0D86" w:rsidRPr="00132649">
          <w:rPr>
            <w:rStyle w:val="Hyperlink"/>
            <w:rFonts w:ascii="Calibri" w:hAnsi="Calibri" w:cs="Calibri"/>
            <w:color w:val="auto"/>
            <w:sz w:val="18"/>
            <w:szCs w:val="18"/>
            <w:lang w:eastAsia="pt-BR"/>
          </w:rPr>
          <w:t>4.4</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Segmento de Renda Variável</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_Toc435259866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7</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7" w:history="1">
        <w:r w:rsidR="00FA0D86" w:rsidRPr="00132649">
          <w:rPr>
            <w:rStyle w:val="Hyperlink"/>
            <w:rFonts w:ascii="Calibri" w:hAnsi="Calibri" w:cs="Calibri"/>
            <w:color w:val="auto"/>
            <w:sz w:val="18"/>
            <w:szCs w:val="18"/>
            <w:lang w:eastAsia="pt-BR"/>
          </w:rPr>
          <w:t>4.5</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Segmento de Imóveis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_Toc435259867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7</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68" w:history="1">
        <w:r w:rsidR="00FA0D86" w:rsidRPr="00132649">
          <w:rPr>
            <w:rStyle w:val="Hyperlink"/>
            <w:rFonts w:ascii="Calibri" w:hAnsi="Calibri" w:cs="Calibri"/>
            <w:color w:val="auto"/>
            <w:sz w:val="18"/>
            <w:szCs w:val="18"/>
            <w:lang w:eastAsia="pt-BR"/>
          </w:rPr>
          <w:t>4.6</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Vedações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_Toc435259868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7</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69" w:history="1">
        <w:r w:rsidR="00FA0D86" w:rsidRPr="00132649">
          <w:rPr>
            <w:rStyle w:val="Hyperlink"/>
            <w:rFonts w:ascii="Calibri" w:hAnsi="Calibri"/>
            <w:color w:val="auto"/>
            <w:sz w:val="18"/>
            <w:szCs w:val="18"/>
          </w:rPr>
          <w:t>5.</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Meta Atuarial</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_Toc435259869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7</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70" w:history="1">
        <w:r w:rsidR="00FA0D86" w:rsidRPr="00132649">
          <w:rPr>
            <w:rStyle w:val="Hyperlink"/>
            <w:rFonts w:ascii="Calibri" w:hAnsi="Calibri"/>
            <w:color w:val="auto"/>
            <w:sz w:val="18"/>
            <w:szCs w:val="18"/>
          </w:rPr>
          <w:t>6.</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Estrutura de Gestão dos Ativos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_Toc435259870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7</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1" w:history="1">
        <w:r w:rsidR="00FA0D86" w:rsidRPr="00132649">
          <w:rPr>
            <w:rStyle w:val="Hyperlink"/>
            <w:rFonts w:ascii="Calibri" w:hAnsi="Calibri" w:cs="Calibri"/>
            <w:color w:val="auto"/>
            <w:sz w:val="18"/>
            <w:szCs w:val="18"/>
            <w:lang w:eastAsia="pt-BR"/>
          </w:rPr>
          <w:t>6.1</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Gestão Própria</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_Toc435259871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8</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2" w:history="1">
        <w:r w:rsidR="00FA0D86" w:rsidRPr="00132649">
          <w:rPr>
            <w:rStyle w:val="Hyperlink"/>
            <w:rFonts w:ascii="Calibri" w:hAnsi="Calibri" w:cs="Calibri"/>
            <w:color w:val="auto"/>
            <w:sz w:val="18"/>
            <w:szCs w:val="18"/>
            <w:lang w:eastAsia="pt-BR"/>
          </w:rPr>
          <w:t>6.2</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Órgãos de Execução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_Toc435259872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8</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73" w:history="1">
        <w:r w:rsidR="00FA0D86" w:rsidRPr="00132649">
          <w:rPr>
            <w:rStyle w:val="Hyperlink"/>
            <w:rFonts w:ascii="Calibri" w:hAnsi="Calibri"/>
            <w:color w:val="auto"/>
            <w:sz w:val="18"/>
            <w:szCs w:val="18"/>
          </w:rPr>
          <w:t>7.</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Controle de Risco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_Toc435259873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8</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4" w:history="1">
        <w:r w:rsidR="00FA0D86" w:rsidRPr="00132649">
          <w:rPr>
            <w:rStyle w:val="Hyperlink"/>
            <w:rFonts w:ascii="Calibri" w:hAnsi="Calibri" w:cs="Calibri"/>
            <w:color w:val="auto"/>
            <w:sz w:val="18"/>
            <w:szCs w:val="18"/>
            <w:lang w:eastAsia="pt-BR"/>
          </w:rPr>
          <w:t>7.1</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Controle do Risco de Mercado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_Toc435259874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9</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5" w:history="1">
        <w:r w:rsidR="00FA0D86" w:rsidRPr="00132649">
          <w:rPr>
            <w:rStyle w:val="Hyperlink"/>
            <w:rFonts w:ascii="Calibri" w:hAnsi="Calibri" w:cs="Calibri"/>
            <w:color w:val="auto"/>
            <w:sz w:val="18"/>
            <w:szCs w:val="18"/>
            <w:lang w:eastAsia="pt-BR"/>
          </w:rPr>
          <w:t>7.2</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Controle do Risco de Crédito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_Toc435259875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9</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6" w:history="1">
        <w:r w:rsidR="00FA0D86" w:rsidRPr="00132649">
          <w:rPr>
            <w:rStyle w:val="Hyperlink"/>
            <w:rFonts w:ascii="Calibri" w:hAnsi="Calibri" w:cs="Calibri"/>
            <w:color w:val="auto"/>
            <w:sz w:val="18"/>
            <w:szCs w:val="18"/>
            <w:lang w:eastAsia="pt-BR"/>
          </w:rPr>
          <w:t>7.3</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Controle do Risco de Liquidez</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_Toc435259876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10</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77" w:history="1">
        <w:r w:rsidR="00FA0D86" w:rsidRPr="00132649">
          <w:rPr>
            <w:rStyle w:val="Hyperlink"/>
            <w:rFonts w:ascii="Calibri" w:hAnsi="Calibri"/>
            <w:color w:val="auto"/>
            <w:sz w:val="18"/>
            <w:szCs w:val="18"/>
          </w:rPr>
          <w:t>8.</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Política de Transparência</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_Toc435259877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10</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78" w:history="1">
        <w:r w:rsidR="00FA0D86" w:rsidRPr="00132649">
          <w:rPr>
            <w:rStyle w:val="Hyperlink"/>
            <w:rFonts w:ascii="Calibri" w:hAnsi="Calibri"/>
            <w:color w:val="auto"/>
            <w:sz w:val="18"/>
            <w:szCs w:val="18"/>
          </w:rPr>
          <w:t>9.</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Critérios para Credenciamento – Gestor e Administrador</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_Toc435259878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10</w:t>
        </w:r>
        <w:r w:rsidR="00FA0D86" w:rsidRPr="00132649">
          <w:rPr>
            <w:rFonts w:ascii="Calibri" w:hAnsi="Calibri"/>
            <w:webHidden/>
            <w:sz w:val="18"/>
            <w:szCs w:val="18"/>
          </w:rPr>
          <w:fldChar w:fldCharType="end"/>
        </w:r>
      </w:hyperlink>
    </w:p>
    <w:p w:rsidR="00FA0D86" w:rsidRPr="00132649" w:rsidRDefault="00984084" w:rsidP="00132649">
      <w:pPr>
        <w:pStyle w:val="Sumrio2"/>
        <w:ind w:left="-567" w:right="-568"/>
        <w:rPr>
          <w:rFonts w:ascii="Calibri" w:hAnsi="Calibri" w:cs="Times New Roman"/>
          <w:bCs w:val="0"/>
          <w:iCs w:val="0"/>
          <w:sz w:val="18"/>
          <w:szCs w:val="18"/>
          <w:lang w:eastAsia="pt-BR"/>
        </w:rPr>
      </w:pPr>
      <w:hyperlink w:anchor="_Toc435259879" w:history="1">
        <w:r w:rsidR="00FA0D86" w:rsidRPr="00132649">
          <w:rPr>
            <w:rStyle w:val="Hyperlink"/>
            <w:rFonts w:ascii="Calibri" w:hAnsi="Calibri" w:cs="Calibri"/>
            <w:color w:val="auto"/>
            <w:sz w:val="18"/>
            <w:szCs w:val="18"/>
            <w:lang w:eastAsia="pt-BR"/>
          </w:rPr>
          <w:t>9.1</w:t>
        </w:r>
        <w:r w:rsidR="00FA0D86" w:rsidRPr="00132649">
          <w:rPr>
            <w:rFonts w:ascii="Calibri" w:hAnsi="Calibri" w:cs="Times New Roman"/>
            <w:bCs w:val="0"/>
            <w:iCs w:val="0"/>
            <w:sz w:val="18"/>
            <w:szCs w:val="18"/>
            <w:lang w:eastAsia="pt-BR"/>
          </w:rPr>
          <w:tab/>
        </w:r>
        <w:r w:rsidR="00FA0D86" w:rsidRPr="00132649">
          <w:rPr>
            <w:rStyle w:val="Hyperlink"/>
            <w:rFonts w:ascii="Calibri" w:hAnsi="Calibri" w:cs="Calibri"/>
            <w:color w:val="auto"/>
            <w:sz w:val="18"/>
            <w:szCs w:val="18"/>
            <w:lang w:eastAsia="pt-BR"/>
          </w:rPr>
          <w:t>Processo de Seleção e Avaliação de Gestores/Administradores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_Toc435259879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11</w:t>
        </w:r>
        <w:r w:rsidR="00FA0D86" w:rsidRPr="00132649">
          <w:rPr>
            <w:rFonts w:ascii="Calibri" w:hAnsi="Calibri"/>
            <w:webHidden/>
            <w:sz w:val="18"/>
            <w:szCs w:val="18"/>
          </w:rPr>
          <w:fldChar w:fldCharType="end"/>
        </w:r>
      </w:hyperlink>
    </w:p>
    <w:p w:rsidR="00FA0D86" w:rsidRPr="00132649" w:rsidRDefault="00984084" w:rsidP="00132649">
      <w:pPr>
        <w:pStyle w:val="Sumrio3"/>
        <w:ind w:left="-567" w:right="-568"/>
        <w:rPr>
          <w:rFonts w:ascii="Calibri" w:hAnsi="Calibri" w:cs="Times New Roman"/>
          <w:sz w:val="18"/>
          <w:szCs w:val="18"/>
          <w:lang w:eastAsia="pt-BR"/>
        </w:rPr>
      </w:pPr>
      <w:hyperlink w:anchor="_Toc435259880" w:history="1">
        <w:r w:rsidR="00FA0D86" w:rsidRPr="00132649">
          <w:rPr>
            <w:rStyle w:val="Hyperlink"/>
            <w:rFonts w:ascii="Calibri" w:hAnsi="Calibri" w:cs="Calibri"/>
            <w:color w:val="auto"/>
            <w:sz w:val="18"/>
            <w:szCs w:val="18"/>
            <w:lang w:eastAsia="pt-BR"/>
          </w:rPr>
          <w:t>9.1.1</w:t>
        </w:r>
        <w:r w:rsidR="00FA0D86" w:rsidRPr="00132649">
          <w:rPr>
            <w:rFonts w:ascii="Calibri" w:hAnsi="Calibri" w:cs="Times New Roman"/>
            <w:sz w:val="18"/>
            <w:szCs w:val="18"/>
            <w:lang w:eastAsia="pt-BR"/>
          </w:rPr>
          <w:tab/>
        </w:r>
        <w:r w:rsidR="00FA0D86" w:rsidRPr="00132649">
          <w:rPr>
            <w:rStyle w:val="Hyperlink"/>
            <w:rFonts w:ascii="Calibri" w:hAnsi="Calibri" w:cs="Calibri"/>
            <w:color w:val="auto"/>
            <w:sz w:val="18"/>
            <w:szCs w:val="18"/>
            <w:lang w:eastAsia="pt-BR"/>
          </w:rPr>
          <w:t>Processo de Credenciamento</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_Toc435259880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11</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81" w:history="1">
        <w:r w:rsidR="00FA0D86" w:rsidRPr="00132649">
          <w:rPr>
            <w:rStyle w:val="Hyperlink"/>
            <w:rFonts w:ascii="Calibri" w:hAnsi="Calibri"/>
            <w:color w:val="auto"/>
            <w:sz w:val="18"/>
            <w:szCs w:val="18"/>
          </w:rPr>
          <w:t>10.</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Controles Internos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_Toc435259881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11</w:t>
        </w:r>
        <w:r w:rsidR="00FA0D86" w:rsidRPr="00132649">
          <w:rPr>
            <w:rFonts w:ascii="Calibri" w:hAnsi="Calibri"/>
            <w:webHidden/>
            <w:sz w:val="18"/>
            <w:szCs w:val="18"/>
          </w:rPr>
          <w:fldChar w:fldCharType="end"/>
        </w:r>
      </w:hyperlink>
    </w:p>
    <w:p w:rsidR="00FA0D86" w:rsidRPr="00132649" w:rsidRDefault="00984084" w:rsidP="00132649">
      <w:pPr>
        <w:pStyle w:val="Sumrio1"/>
        <w:ind w:left="-567" w:right="-568" w:firstLine="0"/>
        <w:rPr>
          <w:rFonts w:ascii="Calibri" w:hAnsi="Calibri" w:cs="Times New Roman"/>
          <w:b w:val="0"/>
          <w:bCs w:val="0"/>
          <w:sz w:val="18"/>
          <w:szCs w:val="18"/>
          <w:lang w:eastAsia="pt-BR"/>
        </w:rPr>
      </w:pPr>
      <w:hyperlink w:anchor="_Toc435259882" w:history="1">
        <w:r w:rsidR="00FA0D86" w:rsidRPr="00132649">
          <w:rPr>
            <w:rStyle w:val="Hyperlink"/>
            <w:rFonts w:ascii="Calibri" w:hAnsi="Calibri"/>
            <w:color w:val="auto"/>
            <w:sz w:val="18"/>
            <w:szCs w:val="18"/>
          </w:rPr>
          <w:t>11.</w:t>
        </w:r>
        <w:r w:rsidR="00FA0D86" w:rsidRPr="00132649">
          <w:rPr>
            <w:rFonts w:ascii="Calibri" w:hAnsi="Calibri" w:cs="Times New Roman"/>
            <w:b w:val="0"/>
            <w:bCs w:val="0"/>
            <w:sz w:val="18"/>
            <w:szCs w:val="18"/>
            <w:lang w:eastAsia="pt-BR"/>
          </w:rPr>
          <w:tab/>
        </w:r>
        <w:r w:rsidR="00FA0D86" w:rsidRPr="00132649">
          <w:rPr>
            <w:rStyle w:val="Hyperlink"/>
            <w:rFonts w:ascii="Calibri" w:hAnsi="Calibri"/>
            <w:color w:val="auto"/>
            <w:sz w:val="18"/>
            <w:szCs w:val="18"/>
          </w:rPr>
          <w:t>Disposições Gerais</w:t>
        </w:r>
        <w:r w:rsidR="00FA0D86" w:rsidRPr="00132649">
          <w:rPr>
            <w:rFonts w:ascii="Calibri" w:hAnsi="Calibri"/>
            <w:webHidden/>
            <w:sz w:val="18"/>
            <w:szCs w:val="18"/>
          </w:rPr>
          <w:tab/>
        </w:r>
        <w:r w:rsidR="00FA0D86" w:rsidRPr="00132649">
          <w:rPr>
            <w:rFonts w:ascii="Calibri" w:hAnsi="Calibri"/>
            <w:webHidden/>
            <w:sz w:val="18"/>
            <w:szCs w:val="18"/>
          </w:rPr>
          <w:fldChar w:fldCharType="begin"/>
        </w:r>
        <w:r w:rsidR="00FA0D86" w:rsidRPr="00132649">
          <w:rPr>
            <w:rFonts w:ascii="Calibri" w:hAnsi="Calibri"/>
            <w:webHidden/>
            <w:sz w:val="18"/>
            <w:szCs w:val="18"/>
          </w:rPr>
          <w:instrText xml:space="preserve"> PAGEREF _Toc435259882 \h </w:instrText>
        </w:r>
        <w:r w:rsidR="00FA0D86" w:rsidRPr="00132649">
          <w:rPr>
            <w:rFonts w:ascii="Calibri" w:hAnsi="Calibri"/>
            <w:webHidden/>
            <w:sz w:val="18"/>
            <w:szCs w:val="18"/>
          </w:rPr>
        </w:r>
        <w:r w:rsidR="00FA0D86" w:rsidRPr="00132649">
          <w:rPr>
            <w:rFonts w:ascii="Calibri" w:hAnsi="Calibri"/>
            <w:webHidden/>
            <w:sz w:val="18"/>
            <w:szCs w:val="18"/>
          </w:rPr>
          <w:fldChar w:fldCharType="separate"/>
        </w:r>
        <w:r w:rsidR="00286CDD">
          <w:rPr>
            <w:rFonts w:ascii="Calibri" w:hAnsi="Calibri"/>
            <w:webHidden/>
            <w:sz w:val="18"/>
            <w:szCs w:val="18"/>
          </w:rPr>
          <w:t>13</w:t>
        </w:r>
        <w:r w:rsidR="00FA0D86" w:rsidRPr="00132649">
          <w:rPr>
            <w:rFonts w:ascii="Calibri" w:hAnsi="Calibri"/>
            <w:webHidden/>
            <w:sz w:val="18"/>
            <w:szCs w:val="18"/>
          </w:rPr>
          <w:fldChar w:fldCharType="end"/>
        </w:r>
      </w:hyperlink>
    </w:p>
    <w:p w:rsidR="00FA0D86" w:rsidRPr="00132649" w:rsidRDefault="00FA0D86" w:rsidP="00132649">
      <w:pPr>
        <w:ind w:left="-567" w:right="-568"/>
        <w:rPr>
          <w:sz w:val="18"/>
          <w:szCs w:val="18"/>
        </w:rPr>
      </w:pPr>
      <w:r w:rsidRPr="00132649">
        <w:rPr>
          <w:sz w:val="18"/>
          <w:szCs w:val="18"/>
        </w:rPr>
        <w:fldChar w:fldCharType="end"/>
      </w:r>
    </w:p>
    <w:p w:rsidR="00FA0D86" w:rsidRPr="00132649" w:rsidRDefault="00FA0D86" w:rsidP="00132649">
      <w:pPr>
        <w:ind w:left="-567" w:right="-568"/>
        <w:rPr>
          <w:sz w:val="18"/>
          <w:szCs w:val="18"/>
        </w:rPr>
      </w:pPr>
      <w:r w:rsidRPr="00132649">
        <w:rPr>
          <w:b/>
          <w:bCs/>
          <w:sz w:val="18"/>
          <w:szCs w:val="18"/>
        </w:rPr>
        <w:br w:type="page"/>
      </w: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eastAsia="Calibri" w:hAnsi="Calibri"/>
                <w:b w:val="0"/>
                <w:bCs w:val="0"/>
                <w:color w:val="auto"/>
                <w:sz w:val="18"/>
                <w:szCs w:val="18"/>
                <w:lang w:val="pt-BR" w:eastAsia="en-US"/>
              </w:rPr>
              <w:lastRenderedPageBreak/>
              <w:br w:type="page"/>
            </w:r>
            <w:r w:rsidRPr="00132649">
              <w:rPr>
                <w:rFonts w:ascii="Calibri" w:hAnsi="Calibri"/>
                <w:color w:val="auto"/>
                <w:sz w:val="18"/>
                <w:szCs w:val="18"/>
              </w:rPr>
              <w:br w:type="page"/>
            </w:r>
            <w:r w:rsidRPr="00132649">
              <w:rPr>
                <w:rFonts w:ascii="Calibri" w:hAnsi="Calibri"/>
                <w:color w:val="auto"/>
                <w:sz w:val="18"/>
                <w:szCs w:val="18"/>
              </w:rPr>
              <w:br w:type="page"/>
            </w:r>
            <w:bookmarkStart w:id="0" w:name="_Toc435259859"/>
            <w:r w:rsidRPr="00132649">
              <w:rPr>
                <w:rFonts w:ascii="Calibri" w:hAnsi="Calibri"/>
                <w:color w:val="auto"/>
                <w:sz w:val="18"/>
                <w:szCs w:val="18"/>
              </w:rPr>
              <w:t>Introdução</w:t>
            </w:r>
            <w:bookmarkEnd w:id="0"/>
          </w:p>
        </w:tc>
      </w:tr>
    </w:tbl>
    <w:p w:rsidR="00FA0D86" w:rsidRPr="00132649" w:rsidRDefault="00FA0D86" w:rsidP="00132649">
      <w:pPr>
        <w:spacing w:before="240" w:line="320" w:lineRule="exact"/>
        <w:ind w:left="-567" w:right="-568"/>
        <w:jc w:val="both"/>
        <w:rPr>
          <w:rFonts w:eastAsia="Times New Roman" w:cs="Calibri"/>
          <w:sz w:val="18"/>
          <w:szCs w:val="18"/>
          <w:lang w:eastAsia="pt-BR"/>
        </w:rPr>
      </w:pP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Atendendo à Resolução do Conselho Monetário Nacional - CMN nº 3.922, de 25 de novembro de 2010, alterada pela Resolução CMN n° 4.392, de 19 de dezembro de 2014, doravante denominada simplesmente “Resolução CMN nº 3.922/2010”, o </w:t>
      </w:r>
      <w:r w:rsidRPr="00132649">
        <w:rPr>
          <w:rFonts w:eastAsia="Times New Roman" w:cs="Calibri"/>
          <w:noProof/>
          <w:sz w:val="18"/>
          <w:szCs w:val="18"/>
          <w:lang w:eastAsia="pt-BR"/>
        </w:rPr>
        <w:t>INSTITUTO DE PREVIDÊNCIA SOCIAL DOS SERVIDORES MUNICIPAIS DE NOVA ALVORADA DO SUL</w:t>
      </w:r>
      <w:r w:rsidRPr="00132649">
        <w:rPr>
          <w:rFonts w:eastAsia="Times New Roman" w:cs="Calibri"/>
          <w:sz w:val="18"/>
          <w:szCs w:val="18"/>
          <w:lang w:eastAsia="pt-BR"/>
        </w:rPr>
        <w:t>, apresenta sua Política de Investimentos para o exercício de 2017, aprovada por seu órgão superior competente.</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 elaboração da Política de Investimentos representa uma formalidade legal que fundamenta e norteia todo o processo de tomada de decisão relativo aos investimentos dos Regimes Próprios de Previdência Social – </w:t>
      </w:r>
      <w:proofErr w:type="spellStart"/>
      <w:r w:rsidRPr="00132649">
        <w:rPr>
          <w:rFonts w:eastAsia="Times New Roman" w:cs="Calibri"/>
          <w:sz w:val="18"/>
          <w:szCs w:val="18"/>
          <w:lang w:eastAsia="pt-BR"/>
        </w:rPr>
        <w:t>RPPS’s</w:t>
      </w:r>
      <w:proofErr w:type="spellEnd"/>
      <w:r w:rsidRPr="00132649">
        <w:rPr>
          <w:rFonts w:eastAsia="Times New Roman" w:cs="Calibri"/>
          <w:sz w:val="18"/>
          <w:szCs w:val="18"/>
          <w:lang w:eastAsia="pt-BR"/>
        </w:rPr>
        <w:t>, empregada como instrumento necessário para garantir a consistência da gestão dos recursos em busca do equilíbrio econômico-financeiro.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FA0D86" w:rsidRPr="00132649" w:rsidRDefault="00FA0D86" w:rsidP="00563EAB">
      <w:pPr>
        <w:spacing w:after="0" w:line="240" w:lineRule="auto"/>
        <w:ind w:right="-568"/>
        <w:rPr>
          <w:rFonts w:cs="Arial-BoldMT"/>
          <w:b/>
          <w:bCs/>
          <w:sz w:val="18"/>
          <w:szCs w:val="18"/>
        </w:rPr>
      </w:pP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color w:val="auto"/>
                <w:sz w:val="18"/>
                <w:szCs w:val="18"/>
              </w:rPr>
            </w:pPr>
            <w:bookmarkStart w:id="1" w:name="_Toc435259860"/>
            <w:r w:rsidRPr="00132649">
              <w:rPr>
                <w:rFonts w:ascii="Calibri" w:hAnsi="Calibri"/>
                <w:color w:val="auto"/>
                <w:sz w:val="18"/>
                <w:szCs w:val="18"/>
              </w:rPr>
              <w:t>Objetivo</w:t>
            </w:r>
            <w:bookmarkEnd w:id="1"/>
          </w:p>
        </w:tc>
      </w:tr>
    </w:tbl>
    <w:p w:rsidR="00FA0D86" w:rsidRPr="00132649"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 Política de Investimentos do </w:t>
      </w:r>
      <w:r w:rsidRPr="00132649">
        <w:rPr>
          <w:rFonts w:eastAsia="Times New Roman" w:cs="Calibri"/>
          <w:noProof/>
          <w:sz w:val="18"/>
          <w:szCs w:val="18"/>
          <w:lang w:eastAsia="pt-BR"/>
        </w:rPr>
        <w:t>INSTITUTO DE PREVIDÊNCIA SOCIAL DOS SERVIDORES MUNICIPAIS DE NOVA ALVORADA DO SUL</w:t>
      </w:r>
      <w:r w:rsidRPr="00132649">
        <w:rPr>
          <w:rFonts w:eastAsia="Times New Roman" w:cs="Calibri"/>
          <w:sz w:val="18"/>
          <w:szCs w:val="18"/>
          <w:lang w:eastAsia="pt-BR"/>
        </w:rPr>
        <w:t xml:space="preserve">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e transparência.</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132649">
        <w:rPr>
          <w:rFonts w:eastAsia="Times New Roman" w:cs="Calibri"/>
          <w:b/>
          <w:sz w:val="18"/>
          <w:szCs w:val="18"/>
          <w:lang w:eastAsia="pt-BR"/>
        </w:rPr>
        <w:t>solidez patrimonial, experiência positiva no exercício da atividade de administração de grandes volumes de recursos e em ativos com adequada relação risco X retorno</w:t>
      </w:r>
      <w:r w:rsidRPr="00132649">
        <w:rPr>
          <w:rFonts w:eastAsia="Times New Roman" w:cs="Calibri"/>
          <w:sz w:val="18"/>
          <w:szCs w:val="18"/>
          <w:lang w:eastAsia="pt-BR"/>
        </w:rPr>
        <w:t>.</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FA0D86" w:rsidRPr="00132649" w:rsidRDefault="00FA0D86" w:rsidP="00132649">
      <w:pPr>
        <w:autoSpaceDE w:val="0"/>
        <w:autoSpaceDN w:val="0"/>
        <w:adjustRightInd w:val="0"/>
        <w:spacing w:after="0" w:line="240" w:lineRule="auto"/>
        <w:ind w:left="-567" w:right="-568"/>
        <w:rPr>
          <w:rFonts w:cs="Arial-BoldMT"/>
          <w:b/>
          <w:bCs/>
          <w:sz w:val="18"/>
          <w:szCs w:val="18"/>
        </w:rPr>
      </w:pP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bookmarkStart w:id="2" w:name="_Toc435259861"/>
            <w:r w:rsidRPr="00132649">
              <w:rPr>
                <w:rFonts w:ascii="Calibri" w:hAnsi="Calibri"/>
                <w:color w:val="auto"/>
                <w:sz w:val="18"/>
                <w:szCs w:val="18"/>
              </w:rPr>
              <w:t>Cenário Econômico para o Exercício de 201</w:t>
            </w:r>
            <w:bookmarkEnd w:id="2"/>
            <w:r w:rsidRPr="00132649">
              <w:rPr>
                <w:rFonts w:ascii="Calibri" w:hAnsi="Calibri"/>
                <w:color w:val="auto"/>
                <w:sz w:val="18"/>
                <w:szCs w:val="18"/>
                <w:lang w:val="pt-BR"/>
              </w:rPr>
              <w:t>7</w:t>
            </w:r>
          </w:p>
        </w:tc>
      </w:tr>
    </w:tbl>
    <w:p w:rsidR="00FA0D86" w:rsidRPr="00132649" w:rsidRDefault="00FA0D86" w:rsidP="00132649">
      <w:pPr>
        <w:spacing w:before="240" w:line="320" w:lineRule="exact"/>
        <w:ind w:left="-567" w:right="-568"/>
        <w:jc w:val="both"/>
        <w:rPr>
          <w:rFonts w:cs="Arial"/>
          <w:sz w:val="18"/>
          <w:szCs w:val="18"/>
          <w:shd w:val="clear" w:color="auto" w:fill="FFFFFF"/>
        </w:rPr>
      </w:pPr>
      <w:r w:rsidRPr="00132649">
        <w:rPr>
          <w:rFonts w:cs="Arial"/>
          <w:b/>
          <w:sz w:val="18"/>
          <w:szCs w:val="18"/>
          <w:shd w:val="clear" w:color="auto" w:fill="FFFFFF"/>
        </w:rPr>
        <w:t>Internacional</w:t>
      </w:r>
    </w:p>
    <w:p w:rsidR="00FA0D86" w:rsidRPr="00132649" w:rsidRDefault="00FA0D86" w:rsidP="00132649">
      <w:pPr>
        <w:pStyle w:val="NormalWeb"/>
        <w:spacing w:before="240" w:beforeAutospacing="0" w:after="200" w:afterAutospacing="0" w:line="320" w:lineRule="exact"/>
        <w:ind w:left="-567" w:right="-568"/>
        <w:jc w:val="both"/>
        <w:rPr>
          <w:rFonts w:ascii="Calibri" w:hAnsi="Calibri"/>
          <w:sz w:val="18"/>
          <w:szCs w:val="18"/>
        </w:rPr>
      </w:pPr>
      <w:r w:rsidRPr="00132649">
        <w:rPr>
          <w:rFonts w:ascii="Calibri" w:hAnsi="Calibri"/>
          <w:sz w:val="18"/>
          <w:szCs w:val="18"/>
        </w:rPr>
        <w:t xml:space="preserve">A vitória do republicano Donald </w:t>
      </w:r>
      <w:proofErr w:type="spellStart"/>
      <w:r w:rsidRPr="00132649">
        <w:rPr>
          <w:rFonts w:ascii="Calibri" w:hAnsi="Calibri"/>
          <w:sz w:val="18"/>
          <w:szCs w:val="18"/>
        </w:rPr>
        <w:t>Trump</w:t>
      </w:r>
      <w:proofErr w:type="spellEnd"/>
      <w:r w:rsidRPr="00132649">
        <w:rPr>
          <w:rFonts w:ascii="Calibri" w:hAnsi="Calibri"/>
          <w:sz w:val="18"/>
          <w:szCs w:val="18"/>
        </w:rPr>
        <w:t xml:space="preserve"> nas eleições americanas, que pressionou os mercados globais de moedas nas últimas semanas, voltou a influenciar as estimativas para o câmbio no Brasil. O Relatório de Mercado Focus divulgado nesta segunda-feira, (21/11/2016), pelo Banco Central, mostrou que a cotação da moeda americana estará em R$ 3,30 no encerramento de 2016, ante </w:t>
      </w:r>
      <w:r w:rsidRPr="00132649">
        <w:rPr>
          <w:rFonts w:ascii="Calibri" w:hAnsi="Calibri"/>
          <w:sz w:val="18"/>
          <w:szCs w:val="18"/>
        </w:rPr>
        <w:lastRenderedPageBreak/>
        <w:t>R$ 3,22 de uma semana antes. Há um mês, estava em R$ 3,20. O câmbio médio de 2016 passou de R$ 3,43 para R$ 3,45, ante R$ 3,43 de um mês antes.</w:t>
      </w:r>
    </w:p>
    <w:p w:rsidR="00FA0D86" w:rsidRPr="00132649" w:rsidRDefault="00FA0D86" w:rsidP="00132649">
      <w:pPr>
        <w:pStyle w:val="NormalWeb"/>
        <w:spacing w:before="240" w:beforeAutospacing="0" w:after="200" w:afterAutospacing="0" w:line="320" w:lineRule="exact"/>
        <w:ind w:left="-567" w:right="-568"/>
        <w:jc w:val="both"/>
        <w:rPr>
          <w:rFonts w:ascii="Calibri" w:hAnsi="Calibri"/>
          <w:sz w:val="18"/>
          <w:szCs w:val="18"/>
        </w:rPr>
      </w:pPr>
      <w:r w:rsidRPr="00132649">
        <w:rPr>
          <w:rFonts w:ascii="Calibri" w:hAnsi="Calibri"/>
          <w:sz w:val="18"/>
          <w:szCs w:val="18"/>
        </w:rPr>
        <w:t xml:space="preserve">Para o fim de 2017, a mediana para o câmbio permaneceu em R$ 3,40 de uma divulgação para a outra, mesmo valor de um mês antes. Já o câmbio médio de 2017 passou de R$ 3,32 para R$ 3,36 – estava em R$ 3,34 um mês atrás. </w:t>
      </w:r>
    </w:p>
    <w:p w:rsidR="00FA0D86" w:rsidRPr="00132649" w:rsidRDefault="00FA0D86" w:rsidP="00132649">
      <w:pPr>
        <w:pStyle w:val="NormalWeb"/>
        <w:spacing w:before="240" w:beforeAutospacing="0" w:after="200" w:afterAutospacing="0" w:line="320" w:lineRule="exact"/>
        <w:ind w:left="-567" w:right="-568"/>
        <w:jc w:val="both"/>
        <w:rPr>
          <w:rFonts w:ascii="Calibri" w:hAnsi="Calibri"/>
          <w:sz w:val="18"/>
          <w:szCs w:val="18"/>
        </w:rPr>
      </w:pPr>
      <w:r w:rsidRPr="00132649">
        <w:rPr>
          <w:rFonts w:ascii="Calibri" w:hAnsi="Calibri"/>
          <w:sz w:val="18"/>
          <w:szCs w:val="18"/>
        </w:rPr>
        <w:t xml:space="preserve">Nas últimas semanas, após a vitória de Donald </w:t>
      </w:r>
      <w:proofErr w:type="spellStart"/>
      <w:r w:rsidRPr="00132649">
        <w:rPr>
          <w:rFonts w:ascii="Calibri" w:hAnsi="Calibri"/>
          <w:sz w:val="18"/>
          <w:szCs w:val="18"/>
        </w:rPr>
        <w:t>Trump</w:t>
      </w:r>
      <w:proofErr w:type="spellEnd"/>
      <w:r w:rsidRPr="00132649">
        <w:rPr>
          <w:rFonts w:ascii="Calibri" w:hAnsi="Calibri"/>
          <w:sz w:val="18"/>
          <w:szCs w:val="18"/>
        </w:rPr>
        <w:t xml:space="preserve"> na eleição presidencial dos EUA, o BC brasileiro não apenas interrompeu as atuações com swap cambial reverso como retomou os leilões de swap cambial tradicional, como forma de reduzir a volatilidade e segurar a alta forte do dólar.</w:t>
      </w:r>
    </w:p>
    <w:p w:rsidR="00FA0D86" w:rsidRPr="00132649" w:rsidRDefault="00FA0D86" w:rsidP="00132649">
      <w:pPr>
        <w:pStyle w:val="NormalWeb"/>
        <w:spacing w:before="240" w:beforeAutospacing="0" w:after="200" w:afterAutospacing="0" w:line="320" w:lineRule="exact"/>
        <w:ind w:left="-567" w:right="-568"/>
        <w:jc w:val="both"/>
        <w:rPr>
          <w:rFonts w:ascii="Calibri" w:hAnsi="Calibri"/>
          <w:sz w:val="18"/>
          <w:szCs w:val="18"/>
        </w:rPr>
      </w:pPr>
      <w:r w:rsidRPr="00132649">
        <w:rPr>
          <w:rFonts w:ascii="Calibri" w:hAnsi="Calibri"/>
          <w:sz w:val="18"/>
          <w:szCs w:val="18"/>
        </w:rPr>
        <w:t>Em comunicações recentes, o presidente do BC, Ilan Goldfajn, tem dito que a atual posição em swaps dá tranquilidade à instituição em suas atuações e que o Banco Central pode usar qualquer instrumento disponível para conter a volatilidade.</w:t>
      </w:r>
    </w:p>
    <w:p w:rsidR="00FA0D86" w:rsidRPr="00132649" w:rsidRDefault="00FA0D86" w:rsidP="00132649">
      <w:pPr>
        <w:spacing w:before="240" w:line="320" w:lineRule="exact"/>
        <w:ind w:left="-567" w:right="-568"/>
        <w:jc w:val="both"/>
        <w:rPr>
          <w:rFonts w:cs="Arial"/>
          <w:sz w:val="18"/>
          <w:szCs w:val="18"/>
          <w:shd w:val="clear" w:color="auto" w:fill="FFFFFF"/>
        </w:rPr>
      </w:pPr>
      <w:r w:rsidRPr="00132649">
        <w:rPr>
          <w:rFonts w:cs="Arial"/>
          <w:b/>
          <w:sz w:val="18"/>
          <w:szCs w:val="18"/>
          <w:u w:val="single"/>
          <w:shd w:val="clear" w:color="auto" w:fill="FFFFFF"/>
        </w:rPr>
        <w:t>http://exame.abril.com.br/mercados/cambio-para-fim-de-2016-sobe-para-r-330-aponta-focus/</w:t>
      </w:r>
      <w:r w:rsidRPr="00132649">
        <w:rPr>
          <w:rFonts w:cs="Arial"/>
          <w:sz w:val="18"/>
          <w:szCs w:val="18"/>
          <w:shd w:val="clear" w:color="auto" w:fill="FFFFFF"/>
        </w:rPr>
        <w:t xml:space="preserve"> </w:t>
      </w:r>
    </w:p>
    <w:p w:rsidR="00FA0D86" w:rsidRPr="00132649" w:rsidRDefault="00FA0D86" w:rsidP="00563EAB">
      <w:pPr>
        <w:spacing w:before="240" w:line="320" w:lineRule="exact"/>
        <w:ind w:left="-567" w:right="-568"/>
        <w:jc w:val="both"/>
        <w:rPr>
          <w:rFonts w:cs="Arial"/>
          <w:sz w:val="18"/>
          <w:szCs w:val="18"/>
          <w:shd w:val="clear" w:color="auto" w:fill="FFFFFF"/>
        </w:rPr>
      </w:pPr>
      <w:proofErr w:type="gramStart"/>
      <w:r w:rsidRPr="00132649">
        <w:rPr>
          <w:rFonts w:cs="Arial"/>
          <w:sz w:val="18"/>
          <w:szCs w:val="18"/>
          <w:shd w:val="clear" w:color="auto" w:fill="FFFFFF"/>
        </w:rPr>
        <w:t>em</w:t>
      </w:r>
      <w:proofErr w:type="gramEnd"/>
      <w:r w:rsidRPr="00132649">
        <w:rPr>
          <w:rFonts w:cs="Arial"/>
          <w:sz w:val="18"/>
          <w:szCs w:val="18"/>
          <w:shd w:val="clear" w:color="auto" w:fill="FFFFFF"/>
        </w:rPr>
        <w:t xml:space="preserve"> 21/11/2016 - 09h56</w:t>
      </w:r>
    </w:p>
    <w:p w:rsidR="00FA0D86" w:rsidRPr="00132649" w:rsidRDefault="00FA0D86" w:rsidP="00132649">
      <w:pPr>
        <w:spacing w:before="240" w:line="320" w:lineRule="exact"/>
        <w:ind w:left="-567" w:right="-568"/>
        <w:jc w:val="both"/>
        <w:rPr>
          <w:rFonts w:cs="Arial"/>
          <w:sz w:val="18"/>
          <w:szCs w:val="18"/>
          <w:shd w:val="clear" w:color="auto" w:fill="FFFFFF"/>
        </w:rPr>
      </w:pPr>
      <w:r w:rsidRPr="00132649">
        <w:rPr>
          <w:rFonts w:cs="Arial"/>
          <w:b/>
          <w:sz w:val="18"/>
          <w:szCs w:val="18"/>
          <w:shd w:val="clear" w:color="auto" w:fill="FFFFFF"/>
        </w:rPr>
        <w:t>Nacional</w:t>
      </w:r>
    </w:p>
    <w:p w:rsidR="00FA0D86" w:rsidRPr="00132649" w:rsidRDefault="00FA0D86" w:rsidP="00132649">
      <w:pPr>
        <w:pStyle w:val="NormalWeb"/>
        <w:shd w:val="clear" w:color="auto" w:fill="FFFFFF"/>
        <w:spacing w:before="240" w:beforeAutospacing="0" w:afterLines="200" w:after="480" w:afterAutospacing="0" w:line="320" w:lineRule="exact"/>
        <w:ind w:left="-567" w:right="-568"/>
        <w:jc w:val="both"/>
        <w:rPr>
          <w:rFonts w:ascii="Calibri" w:hAnsi="Calibri" w:cs="Arial"/>
          <w:sz w:val="18"/>
          <w:szCs w:val="18"/>
        </w:rPr>
      </w:pPr>
      <w:r w:rsidRPr="00132649">
        <w:rPr>
          <w:rFonts w:ascii="Calibri" w:hAnsi="Calibri" w:cs="Arial"/>
          <w:sz w:val="18"/>
          <w:szCs w:val="18"/>
        </w:rPr>
        <w:t>O Banco Central está muito perto de atingir a meta de inflação deste ano, de acordo com economistas de instituições financeiras, e aqueles que mais acertam as previsões já veem o BC atingindo o objetivo. A projeção para a alta do IPCA em 2016 caiu 0,17 ponto percentual, a 6,52 por cento, na pesquisa</w:t>
      </w:r>
      <w:r w:rsidRPr="00132649">
        <w:rPr>
          <w:rStyle w:val="apple-converted-space"/>
          <w:rFonts w:ascii="Calibri" w:hAnsi="Calibri" w:cs="Arial"/>
          <w:sz w:val="18"/>
          <w:szCs w:val="18"/>
        </w:rPr>
        <w:t> </w:t>
      </w:r>
      <w:hyperlink r:id="rId9" w:history="1">
        <w:r w:rsidRPr="00132649">
          <w:rPr>
            <w:rStyle w:val="Hyperlink"/>
            <w:rFonts w:ascii="Calibri" w:hAnsi="Calibri" w:cs="Arial"/>
            <w:b/>
            <w:bCs/>
            <w:color w:val="C1161C"/>
            <w:sz w:val="18"/>
            <w:szCs w:val="18"/>
            <w:bdr w:val="none" w:sz="0" w:space="0" w:color="auto" w:frame="1"/>
          </w:rPr>
          <w:t>Focus</w:t>
        </w:r>
      </w:hyperlink>
      <w:r w:rsidRPr="00132649">
        <w:rPr>
          <w:rStyle w:val="apple-converted-space"/>
          <w:rFonts w:ascii="Calibri" w:hAnsi="Calibri" w:cs="Arial"/>
          <w:sz w:val="18"/>
          <w:szCs w:val="18"/>
        </w:rPr>
        <w:t> </w:t>
      </w:r>
      <w:r w:rsidRPr="00132649">
        <w:rPr>
          <w:rFonts w:ascii="Calibri" w:hAnsi="Calibri" w:cs="Arial"/>
          <w:sz w:val="18"/>
          <w:szCs w:val="18"/>
        </w:rPr>
        <w:t xml:space="preserve">do BC divulgada nesta segunda-feira. A meta de inflação para este ano é de 4,5 por cento pelo IPCA, com tolerância de </w:t>
      </w:r>
      <w:proofErr w:type="gramStart"/>
      <w:r w:rsidRPr="00132649">
        <w:rPr>
          <w:rFonts w:ascii="Calibri" w:hAnsi="Calibri" w:cs="Arial"/>
          <w:sz w:val="18"/>
          <w:szCs w:val="18"/>
        </w:rPr>
        <w:t>2</w:t>
      </w:r>
      <w:proofErr w:type="gramEnd"/>
      <w:r w:rsidRPr="00132649">
        <w:rPr>
          <w:rFonts w:ascii="Calibri" w:hAnsi="Calibri" w:cs="Arial"/>
          <w:sz w:val="18"/>
          <w:szCs w:val="18"/>
        </w:rPr>
        <w:t xml:space="preserve"> pontos percentuais. Para o ano que vem a projeção passou a uma alta de </w:t>
      </w:r>
      <w:proofErr w:type="gramStart"/>
      <w:r w:rsidRPr="00132649">
        <w:rPr>
          <w:rFonts w:ascii="Calibri" w:hAnsi="Calibri" w:cs="Arial"/>
          <w:sz w:val="18"/>
          <w:szCs w:val="18"/>
        </w:rPr>
        <w:t>4,90 por cento, 0,03 ponto</w:t>
      </w:r>
      <w:proofErr w:type="gramEnd"/>
      <w:r w:rsidRPr="00132649">
        <w:rPr>
          <w:rFonts w:ascii="Calibri" w:hAnsi="Calibri" w:cs="Arial"/>
          <w:sz w:val="18"/>
          <w:szCs w:val="18"/>
        </w:rPr>
        <w:t xml:space="preserve"> a menos que há uma semana, cumprindo o objetivo estabelecido — 4,5 por cento, com margem de 1,5 pontos.</w:t>
      </w:r>
    </w:p>
    <w:p w:rsidR="00FA0D86" w:rsidRPr="00132649" w:rsidRDefault="00FA0D86" w:rsidP="00563EAB">
      <w:pPr>
        <w:pStyle w:val="NormalWeb"/>
        <w:shd w:val="clear" w:color="auto" w:fill="FFFFFF"/>
        <w:spacing w:before="240" w:beforeAutospacing="0" w:afterLines="200" w:after="480" w:afterAutospacing="0" w:line="320" w:lineRule="exact"/>
        <w:ind w:left="-567" w:right="-568"/>
        <w:jc w:val="both"/>
        <w:rPr>
          <w:rFonts w:ascii="Calibri" w:hAnsi="Calibri" w:cs="Arial"/>
          <w:sz w:val="18"/>
          <w:szCs w:val="18"/>
        </w:rPr>
      </w:pPr>
      <w:r w:rsidRPr="00132649">
        <w:rPr>
          <w:rFonts w:ascii="Calibri" w:hAnsi="Calibri" w:cs="Arial"/>
          <w:sz w:val="18"/>
          <w:szCs w:val="18"/>
        </w:rPr>
        <w:t xml:space="preserve">O Top-5 do levantamento, que reúne as instituições que mais acertam as projeções, já vê o cumprimento do objetivo em 2016, com a expectativa de médio prazo a 6,49 por cento, contra 6,60 por cento no levantamento anterior. Para 2017 a estimativa é de alta do IPCA de 4,55 por cento. Em novembro, o IPCA subiu menos do que o esperado ao avançar 0,18 por cento por cento, na menor leitura para o mês desde 1998, acumulando em 12 meses 6,99 por cento. No ano que vem, contra 11,25 por cento </w:t>
      </w:r>
      <w:proofErr w:type="spellStart"/>
      <w:proofErr w:type="gramStart"/>
      <w:r w:rsidRPr="00132649">
        <w:rPr>
          <w:rFonts w:ascii="Calibri" w:hAnsi="Calibri" w:cs="Arial"/>
          <w:sz w:val="18"/>
          <w:szCs w:val="18"/>
        </w:rPr>
        <w:t>antes.</w:t>
      </w:r>
      <w:proofErr w:type="gramEnd"/>
      <w:r w:rsidRPr="00132649">
        <w:rPr>
          <w:rFonts w:ascii="Calibri" w:hAnsi="Calibri" w:cs="Arial"/>
          <w:sz w:val="18"/>
          <w:szCs w:val="18"/>
        </w:rPr>
        <w:t>A</w:t>
      </w:r>
      <w:proofErr w:type="spellEnd"/>
      <w:r w:rsidRPr="00132649">
        <w:rPr>
          <w:rFonts w:ascii="Calibri" w:hAnsi="Calibri" w:cs="Arial"/>
          <w:sz w:val="18"/>
          <w:szCs w:val="18"/>
        </w:rPr>
        <w:t xml:space="preserve"> projeção ainda está acima da expectativa geral, que permanece sendo de Selic a 10,5 por cento no próximo ano, com expectativa de um corte de 0,5 ponto percentual na próxima reunião do Banco Central, em 10 e 11 de janeiro. Na última reunião, o BC discutiu aumentar o ritmo de cortes da Selic no encontro em que optou por uma redução de 0,25 ponto, para 13,75 por cento, com alguns dos membros defendendo que a evolução favorável da inflação, a aprovação inicial de medidas fiscais e o ritmo fraco da economia justificariam o </w:t>
      </w:r>
      <w:proofErr w:type="spellStart"/>
      <w:proofErr w:type="gramStart"/>
      <w:r w:rsidRPr="00132649">
        <w:rPr>
          <w:rFonts w:ascii="Calibri" w:hAnsi="Calibri" w:cs="Arial"/>
          <w:sz w:val="18"/>
          <w:szCs w:val="18"/>
        </w:rPr>
        <w:t>movimento.</w:t>
      </w:r>
      <w:proofErr w:type="gramEnd"/>
      <w:r w:rsidRPr="00132649">
        <w:rPr>
          <w:rFonts w:ascii="Calibri" w:hAnsi="Calibri" w:cs="Arial"/>
          <w:sz w:val="18"/>
          <w:szCs w:val="18"/>
        </w:rPr>
        <w:t>A</w:t>
      </w:r>
      <w:proofErr w:type="spellEnd"/>
      <w:r w:rsidRPr="00132649">
        <w:rPr>
          <w:rFonts w:ascii="Calibri" w:hAnsi="Calibri" w:cs="Arial"/>
          <w:sz w:val="18"/>
          <w:szCs w:val="18"/>
        </w:rPr>
        <w:t xml:space="preserve"> perspectiva para a atividade econômica piorou no Focus tanto para este ano quanto para o próximo, com a contração do Produto Interno Bruto em 2016 sendo calculada agora em 3,48 por cento, sobre queda de 3,43 por cento antes. O cenário de recuperação em 2017 voltou a ser abalado, com o crescimento agora sendo estimado em apenas 0,7 por cento, sobre 0,8 por cento.</w:t>
      </w:r>
    </w:p>
    <w:p w:rsidR="00FA0D86" w:rsidRPr="00132649" w:rsidRDefault="00984084" w:rsidP="00132649">
      <w:pPr>
        <w:spacing w:before="240" w:line="320" w:lineRule="exact"/>
        <w:ind w:left="-567" w:right="-568"/>
        <w:jc w:val="both"/>
        <w:rPr>
          <w:rFonts w:eastAsia="Times New Roman" w:cs="Calibri"/>
          <w:b/>
          <w:sz w:val="18"/>
          <w:szCs w:val="18"/>
          <w:lang w:eastAsia="pt-BR"/>
        </w:rPr>
      </w:pPr>
      <w:hyperlink r:id="rId10" w:history="1">
        <w:r w:rsidR="00FA0D86" w:rsidRPr="00132649">
          <w:rPr>
            <w:rStyle w:val="Hyperlink"/>
            <w:rFonts w:cs="Calibri"/>
            <w:b/>
            <w:sz w:val="18"/>
            <w:szCs w:val="18"/>
            <w:lang w:eastAsia="pt-BR"/>
          </w:rPr>
          <w:t>http://exame.abril.com.br/economia/bc-esta-perto-de-cumprir-meta-de-inflacao-em-2016-aponta-focus/</w:t>
        </w:r>
      </w:hyperlink>
      <w:r w:rsidR="00FA0D86" w:rsidRPr="00132649">
        <w:rPr>
          <w:rFonts w:eastAsia="Times New Roman" w:cs="Calibri"/>
          <w:b/>
          <w:sz w:val="18"/>
          <w:szCs w:val="18"/>
          <w:lang w:eastAsia="pt-BR"/>
        </w:rPr>
        <w:t xml:space="preserve"> </w:t>
      </w:r>
      <w:r w:rsidR="00FA0D86" w:rsidRPr="00132649">
        <w:rPr>
          <w:rFonts w:eastAsia="Times New Roman" w:cs="Calibri"/>
          <w:sz w:val="18"/>
          <w:szCs w:val="18"/>
          <w:lang w:eastAsia="pt-BR"/>
        </w:rPr>
        <w:t>em 05.12.2016 – 09h01</w:t>
      </w: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bookmarkStart w:id="3" w:name="_Toc435259862"/>
            <w:r w:rsidRPr="00132649">
              <w:rPr>
                <w:rFonts w:ascii="Calibri" w:hAnsi="Calibri"/>
                <w:color w:val="auto"/>
                <w:sz w:val="18"/>
                <w:szCs w:val="18"/>
              </w:rPr>
              <w:lastRenderedPageBreak/>
              <w:t>Alocação Estratégica dos Recursos</w:t>
            </w:r>
            <w:bookmarkEnd w:id="3"/>
          </w:p>
        </w:tc>
      </w:tr>
    </w:tbl>
    <w:p w:rsidR="00FA0D86" w:rsidRPr="00132649" w:rsidRDefault="00FA0D86" w:rsidP="00563EAB">
      <w:pPr>
        <w:spacing w:before="240" w:line="320" w:lineRule="exact"/>
        <w:ind w:right="-568"/>
        <w:jc w:val="both"/>
        <w:rPr>
          <w:sz w:val="18"/>
          <w:szCs w:val="18"/>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4" w:name="_Toc435259863"/>
      <w:proofErr w:type="spellStart"/>
      <w:r w:rsidRPr="00132649">
        <w:rPr>
          <w:rFonts w:ascii="Calibri" w:hAnsi="Calibri" w:cs="Calibri"/>
          <w:color w:val="auto"/>
          <w:sz w:val="18"/>
          <w:szCs w:val="18"/>
          <w:lang w:val="pt-BR" w:eastAsia="pt-BR"/>
        </w:rPr>
        <w:t>Macroalocação</w:t>
      </w:r>
      <w:proofErr w:type="spellEnd"/>
      <w:r w:rsidRPr="00132649">
        <w:rPr>
          <w:rFonts w:ascii="Calibri" w:hAnsi="Calibri" w:cs="Calibri"/>
          <w:color w:val="auto"/>
          <w:sz w:val="18"/>
          <w:szCs w:val="18"/>
          <w:lang w:val="pt-BR" w:eastAsia="pt-BR"/>
        </w:rPr>
        <w:t xml:space="preserve"> Estratégica</w:t>
      </w:r>
      <w:bookmarkEnd w:id="4"/>
    </w:p>
    <w:p w:rsidR="00563EAB"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O cenário aponta para </w:t>
      </w:r>
      <w:r w:rsidRPr="00132649">
        <w:rPr>
          <w:rFonts w:eastAsia="Times New Roman" w:cs="Calibri"/>
          <w:color w:val="FF0000"/>
          <w:sz w:val="18"/>
          <w:szCs w:val="18"/>
          <w:lang w:eastAsia="pt-BR"/>
        </w:rPr>
        <w:t>mais um</w:t>
      </w:r>
      <w:r w:rsidRPr="00132649">
        <w:rPr>
          <w:rFonts w:eastAsia="Times New Roman" w:cs="Calibri"/>
          <w:sz w:val="18"/>
          <w:szCs w:val="18"/>
          <w:lang w:eastAsia="pt-BR"/>
        </w:rPr>
        <w:t xml:space="preserve"> ano desafiador na condução dos investimentos. Enquanto persistir o impasse político, cujo desfecho é imprevisível, a economia real terá quase nenhuma chance de reativação. Para o mercado financeiro os riscos serão crescentes e os retornos ainda mais duvidosos. Para os gestores de recursos previdenciários aconselha-se redobrada cautela. Na carteira de renda fixa, embora o fator risco seja inerente, uma alocação de recursos mais defensiva ganha maior importância do que a superação da meta atuarial. Na renda variável, o quadro recessivo atinge a economia real, afetando o resultado das empresas e inibindo melhores retornos. Levando-se em conta os atrasos dos repasses para o Instituto Municipal, torna-se mais prudente ainda a escolha por carteiras de renda fixa, de curta duração (até </w:t>
      </w:r>
      <w:proofErr w:type="gramStart"/>
      <w:r w:rsidRPr="00132649">
        <w:rPr>
          <w:rFonts w:eastAsia="Times New Roman" w:cs="Calibri"/>
          <w:sz w:val="18"/>
          <w:szCs w:val="18"/>
          <w:lang w:eastAsia="pt-BR"/>
        </w:rPr>
        <w:t>2</w:t>
      </w:r>
      <w:proofErr w:type="gramEnd"/>
      <w:r w:rsidRPr="00132649">
        <w:rPr>
          <w:rFonts w:eastAsia="Times New Roman" w:cs="Calibri"/>
          <w:sz w:val="18"/>
          <w:szCs w:val="18"/>
          <w:lang w:eastAsia="pt-BR"/>
        </w:rPr>
        <w:t xml:space="preserve"> anos) e até mesmo de média duração (até 5 anos), preferindo carteiras de fundo aberto.</w:t>
      </w:r>
    </w:p>
    <w:p w:rsidR="00FA0D86" w:rsidRPr="00132649"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Neste contexto, o quadro abaixo sintetiza a proposta de </w:t>
      </w:r>
      <w:proofErr w:type="spellStart"/>
      <w:r w:rsidRPr="00132649">
        <w:rPr>
          <w:rFonts w:eastAsia="Times New Roman" w:cs="Calibri"/>
          <w:sz w:val="18"/>
          <w:szCs w:val="18"/>
          <w:lang w:eastAsia="pt-BR"/>
        </w:rPr>
        <w:t>macroalocação</w:t>
      </w:r>
      <w:proofErr w:type="spellEnd"/>
      <w:r w:rsidRPr="00132649">
        <w:rPr>
          <w:rFonts w:eastAsia="Times New Roman" w:cs="Calibri"/>
          <w:sz w:val="18"/>
          <w:szCs w:val="18"/>
          <w:lang w:eastAsia="pt-BR"/>
        </w:rPr>
        <w:t xml:space="preserve"> de recursos para o ano de 2017:</w:t>
      </w:r>
    </w:p>
    <w:tbl>
      <w:tblPr>
        <w:tblW w:w="8525" w:type="dxa"/>
        <w:jc w:val="center"/>
        <w:tblInd w:w="-812" w:type="dxa"/>
        <w:tblBorders>
          <w:top w:val="single" w:sz="8" w:space="0" w:color="000000"/>
          <w:bottom w:val="single" w:sz="8" w:space="0" w:color="000000"/>
        </w:tblBorders>
        <w:tblLook w:val="04A0" w:firstRow="1" w:lastRow="0" w:firstColumn="1" w:lastColumn="0" w:noHBand="0" w:noVBand="1"/>
      </w:tblPr>
      <w:tblGrid>
        <w:gridCol w:w="3625"/>
        <w:gridCol w:w="1560"/>
        <w:gridCol w:w="1842"/>
        <w:gridCol w:w="1498"/>
      </w:tblGrid>
      <w:tr w:rsidR="00FA0D86" w:rsidRPr="00132649" w:rsidTr="00766925">
        <w:trPr>
          <w:trHeight w:val="270"/>
          <w:jc w:val="center"/>
        </w:trPr>
        <w:tc>
          <w:tcPr>
            <w:tcW w:w="3625" w:type="dxa"/>
            <w:tcBorders>
              <w:top w:val="single" w:sz="8" w:space="0" w:color="000000"/>
              <w:left w:val="nil"/>
              <w:bottom w:val="single" w:sz="8" w:space="0" w:color="000000"/>
              <w:right w:val="nil"/>
            </w:tcBorders>
            <w:shd w:val="clear" w:color="auto" w:fill="auto"/>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Cs/>
                <w:sz w:val="18"/>
                <w:szCs w:val="18"/>
                <w:lang w:eastAsia="pt-BR"/>
              </w:rPr>
              <w:t>Estratégia</w:t>
            </w:r>
          </w:p>
        </w:tc>
        <w:tc>
          <w:tcPr>
            <w:tcW w:w="1560" w:type="dxa"/>
            <w:tcBorders>
              <w:top w:val="single" w:sz="8" w:space="0" w:color="000000"/>
              <w:left w:val="nil"/>
              <w:bottom w:val="single" w:sz="8" w:space="0" w:color="000000"/>
              <w:right w:val="nil"/>
            </w:tcBorders>
            <w:shd w:val="clear" w:color="auto" w:fill="auto"/>
            <w:vAlign w:val="center"/>
            <w:hideMark/>
          </w:tcPr>
          <w:p w:rsidR="00FA0D86" w:rsidRPr="00132649" w:rsidRDefault="00FA0D86" w:rsidP="00132649">
            <w:pPr>
              <w:spacing w:before="120" w:after="120" w:line="240" w:lineRule="auto"/>
              <w:ind w:left="-567" w:right="-568"/>
              <w:jc w:val="center"/>
              <w:rPr>
                <w:rFonts w:eastAsia="Times New Roman" w:cs="Arial"/>
                <w:b/>
                <w:bCs/>
                <w:sz w:val="18"/>
                <w:szCs w:val="18"/>
                <w:lang w:eastAsia="pt-BR"/>
              </w:rPr>
            </w:pPr>
            <w:r w:rsidRPr="00132649">
              <w:rPr>
                <w:rFonts w:eastAsia="Times New Roman" w:cs="Arial"/>
                <w:sz w:val="18"/>
                <w:szCs w:val="18"/>
                <w:lang w:eastAsia="pt-BR"/>
              </w:rPr>
              <w:t>% MÍNIMO</w:t>
            </w:r>
          </w:p>
        </w:tc>
        <w:tc>
          <w:tcPr>
            <w:tcW w:w="1842" w:type="dxa"/>
            <w:tcBorders>
              <w:top w:val="single" w:sz="8" w:space="0" w:color="000000"/>
              <w:left w:val="nil"/>
              <w:bottom w:val="single" w:sz="8" w:space="0" w:color="000000"/>
              <w:right w:val="nil"/>
            </w:tcBorders>
            <w:vAlign w:val="center"/>
          </w:tcPr>
          <w:p w:rsidR="00FA0D86" w:rsidRPr="00132649" w:rsidRDefault="00FA0D86" w:rsidP="00132649">
            <w:pPr>
              <w:spacing w:before="120" w:after="120" w:line="240" w:lineRule="auto"/>
              <w:ind w:left="-567" w:right="-568"/>
              <w:jc w:val="center"/>
              <w:rPr>
                <w:rFonts w:eastAsia="Times New Roman" w:cs="Arial"/>
                <w:b/>
                <w:bCs/>
                <w:sz w:val="18"/>
                <w:szCs w:val="18"/>
                <w:lang w:eastAsia="pt-BR"/>
              </w:rPr>
            </w:pPr>
            <w:r w:rsidRPr="00132649">
              <w:rPr>
                <w:rFonts w:eastAsia="Times New Roman" w:cs="Arial"/>
                <w:sz w:val="18"/>
                <w:szCs w:val="18"/>
                <w:lang w:eastAsia="pt-BR"/>
              </w:rPr>
              <w:t>% MÁXIMO</w:t>
            </w:r>
          </w:p>
        </w:tc>
        <w:tc>
          <w:tcPr>
            <w:tcW w:w="1498" w:type="dxa"/>
            <w:tcBorders>
              <w:top w:val="single" w:sz="8" w:space="0" w:color="000000"/>
              <w:left w:val="nil"/>
              <w:bottom w:val="single" w:sz="8" w:space="0" w:color="000000"/>
              <w:right w:val="nil"/>
            </w:tcBorders>
            <w:vAlign w:val="center"/>
          </w:tcPr>
          <w:p w:rsidR="00FA0D86" w:rsidRPr="00132649" w:rsidRDefault="00FA0D86" w:rsidP="00132649">
            <w:pPr>
              <w:spacing w:before="120" w:after="120" w:line="240" w:lineRule="auto"/>
              <w:ind w:left="-567" w:right="-568"/>
              <w:jc w:val="center"/>
              <w:rPr>
                <w:rFonts w:eastAsia="Times New Roman" w:cs="Arial"/>
                <w:b/>
                <w:bCs/>
                <w:sz w:val="18"/>
                <w:szCs w:val="18"/>
                <w:lang w:eastAsia="pt-BR"/>
              </w:rPr>
            </w:pPr>
            <w:r w:rsidRPr="00132649">
              <w:rPr>
                <w:rFonts w:eastAsia="Times New Roman" w:cs="Arial"/>
                <w:sz w:val="18"/>
                <w:szCs w:val="18"/>
                <w:lang w:eastAsia="pt-BR"/>
              </w:rPr>
              <w:t>% ALVO</w:t>
            </w:r>
          </w:p>
        </w:tc>
      </w:tr>
      <w:tr w:rsidR="00FA0D86" w:rsidRPr="00132649" w:rsidTr="00766925">
        <w:trPr>
          <w:trHeight w:val="255"/>
          <w:jc w:val="center"/>
        </w:trPr>
        <w:tc>
          <w:tcPr>
            <w:tcW w:w="3625"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IMA-B 5+ / IDKA IPCA 20 A</w:t>
            </w:r>
          </w:p>
        </w:tc>
        <w:tc>
          <w:tcPr>
            <w:tcW w:w="1560"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842"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15,00</w:t>
            </w:r>
          </w:p>
        </w:tc>
        <w:tc>
          <w:tcPr>
            <w:tcW w:w="1498"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r>
      <w:tr w:rsidR="00FA0D86" w:rsidRPr="00132649" w:rsidTr="00766925">
        <w:trPr>
          <w:trHeight w:val="255"/>
          <w:jc w:val="center"/>
        </w:trPr>
        <w:tc>
          <w:tcPr>
            <w:tcW w:w="3625" w:type="dxa"/>
            <w:shd w:val="clear" w:color="auto" w:fill="auto"/>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 xml:space="preserve">IMA-B 5 / IDKA IPCA </w:t>
            </w:r>
            <w:proofErr w:type="gramStart"/>
            <w:r w:rsidRPr="00132649">
              <w:rPr>
                <w:rFonts w:eastAsia="Times New Roman" w:cs="Arial"/>
                <w:b/>
                <w:bCs/>
                <w:sz w:val="18"/>
                <w:szCs w:val="18"/>
                <w:lang w:eastAsia="pt-BR"/>
              </w:rPr>
              <w:t>2</w:t>
            </w:r>
            <w:proofErr w:type="gramEnd"/>
            <w:r w:rsidRPr="00132649">
              <w:rPr>
                <w:rFonts w:eastAsia="Times New Roman" w:cs="Arial"/>
                <w:b/>
                <w:bCs/>
                <w:sz w:val="18"/>
                <w:szCs w:val="18"/>
                <w:lang w:eastAsia="pt-BR"/>
              </w:rPr>
              <w:t xml:space="preserve"> A</w:t>
            </w:r>
          </w:p>
        </w:tc>
        <w:tc>
          <w:tcPr>
            <w:tcW w:w="1560" w:type="dxa"/>
            <w:shd w:val="clear" w:color="auto" w:fill="auto"/>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10,00</w:t>
            </w:r>
          </w:p>
        </w:tc>
        <w:tc>
          <w:tcPr>
            <w:tcW w:w="1842"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30,00</w:t>
            </w:r>
          </w:p>
        </w:tc>
        <w:tc>
          <w:tcPr>
            <w:tcW w:w="1498"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20,00</w:t>
            </w:r>
          </w:p>
        </w:tc>
      </w:tr>
      <w:tr w:rsidR="00FA0D86" w:rsidRPr="00132649" w:rsidTr="00766925">
        <w:trPr>
          <w:trHeight w:val="255"/>
          <w:jc w:val="center"/>
        </w:trPr>
        <w:tc>
          <w:tcPr>
            <w:tcW w:w="3625"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IMA-B / IDKA IPCA 10 A</w:t>
            </w:r>
          </w:p>
        </w:tc>
        <w:tc>
          <w:tcPr>
            <w:tcW w:w="1560"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5,00</w:t>
            </w:r>
          </w:p>
        </w:tc>
        <w:tc>
          <w:tcPr>
            <w:tcW w:w="1842"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15,00</w:t>
            </w:r>
          </w:p>
        </w:tc>
        <w:tc>
          <w:tcPr>
            <w:tcW w:w="1498"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color w:val="FF0000"/>
                <w:sz w:val="18"/>
                <w:szCs w:val="18"/>
                <w:lang w:eastAsia="pt-BR"/>
              </w:rPr>
            </w:pPr>
            <w:r w:rsidRPr="00132649">
              <w:rPr>
                <w:rFonts w:eastAsia="Times New Roman" w:cs="Arial"/>
                <w:color w:val="FF0000"/>
                <w:sz w:val="18"/>
                <w:szCs w:val="18"/>
                <w:lang w:eastAsia="pt-BR"/>
              </w:rPr>
              <w:t>0,00</w:t>
            </w:r>
          </w:p>
        </w:tc>
      </w:tr>
      <w:tr w:rsidR="00FA0D86" w:rsidRPr="00132649" w:rsidTr="00766925">
        <w:trPr>
          <w:trHeight w:val="255"/>
          <w:jc w:val="center"/>
        </w:trPr>
        <w:tc>
          <w:tcPr>
            <w:tcW w:w="3625" w:type="dxa"/>
            <w:shd w:val="clear" w:color="auto" w:fill="auto"/>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 xml:space="preserve">IRF-M 1+ / IDKA </w:t>
            </w:r>
            <w:proofErr w:type="spellStart"/>
            <w:r w:rsidRPr="00132649">
              <w:rPr>
                <w:rFonts w:eastAsia="Times New Roman" w:cs="Arial"/>
                <w:b/>
                <w:bCs/>
                <w:sz w:val="18"/>
                <w:szCs w:val="18"/>
                <w:lang w:eastAsia="pt-BR"/>
              </w:rPr>
              <w:t>Pré</w:t>
            </w:r>
            <w:proofErr w:type="spellEnd"/>
            <w:r w:rsidRPr="00132649">
              <w:rPr>
                <w:rFonts w:eastAsia="Times New Roman" w:cs="Arial"/>
                <w:b/>
                <w:bCs/>
                <w:sz w:val="18"/>
                <w:szCs w:val="18"/>
                <w:lang w:eastAsia="pt-BR"/>
              </w:rPr>
              <w:t xml:space="preserve"> </w:t>
            </w:r>
            <w:proofErr w:type="gramStart"/>
            <w:r w:rsidRPr="00132649">
              <w:rPr>
                <w:rFonts w:eastAsia="Times New Roman" w:cs="Arial"/>
                <w:b/>
                <w:bCs/>
                <w:sz w:val="18"/>
                <w:szCs w:val="18"/>
                <w:lang w:eastAsia="pt-BR"/>
              </w:rPr>
              <w:t>3</w:t>
            </w:r>
            <w:proofErr w:type="gramEnd"/>
            <w:r w:rsidRPr="00132649">
              <w:rPr>
                <w:rFonts w:eastAsia="Times New Roman" w:cs="Arial"/>
                <w:b/>
                <w:bCs/>
                <w:sz w:val="18"/>
                <w:szCs w:val="18"/>
                <w:lang w:eastAsia="pt-BR"/>
              </w:rPr>
              <w:t xml:space="preserve"> A</w:t>
            </w:r>
          </w:p>
        </w:tc>
        <w:tc>
          <w:tcPr>
            <w:tcW w:w="1560" w:type="dxa"/>
            <w:shd w:val="clear" w:color="auto" w:fill="auto"/>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842"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498"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r>
      <w:tr w:rsidR="00FA0D86" w:rsidRPr="00132649" w:rsidTr="00766925">
        <w:trPr>
          <w:trHeight w:val="255"/>
          <w:jc w:val="center"/>
        </w:trPr>
        <w:tc>
          <w:tcPr>
            <w:tcW w:w="3625"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 xml:space="preserve">IRF-M 1 / IDKA </w:t>
            </w:r>
            <w:proofErr w:type="spellStart"/>
            <w:r w:rsidRPr="00132649">
              <w:rPr>
                <w:rFonts w:eastAsia="Times New Roman" w:cs="Arial"/>
                <w:b/>
                <w:bCs/>
                <w:sz w:val="18"/>
                <w:szCs w:val="18"/>
                <w:lang w:eastAsia="pt-BR"/>
              </w:rPr>
              <w:t>Pré</w:t>
            </w:r>
            <w:proofErr w:type="spellEnd"/>
            <w:r w:rsidRPr="00132649">
              <w:rPr>
                <w:rFonts w:eastAsia="Times New Roman" w:cs="Arial"/>
                <w:b/>
                <w:bCs/>
                <w:sz w:val="18"/>
                <w:szCs w:val="18"/>
                <w:lang w:eastAsia="pt-BR"/>
              </w:rPr>
              <w:t xml:space="preserve"> </w:t>
            </w:r>
            <w:proofErr w:type="gramStart"/>
            <w:r w:rsidRPr="00132649">
              <w:rPr>
                <w:rFonts w:eastAsia="Times New Roman" w:cs="Arial"/>
                <w:b/>
                <w:bCs/>
                <w:sz w:val="18"/>
                <w:szCs w:val="18"/>
                <w:lang w:eastAsia="pt-BR"/>
              </w:rPr>
              <w:t>1</w:t>
            </w:r>
            <w:proofErr w:type="gramEnd"/>
            <w:r w:rsidRPr="00132649">
              <w:rPr>
                <w:rFonts w:eastAsia="Times New Roman" w:cs="Arial"/>
                <w:b/>
                <w:bCs/>
                <w:sz w:val="18"/>
                <w:szCs w:val="18"/>
                <w:lang w:eastAsia="pt-BR"/>
              </w:rPr>
              <w:t xml:space="preserve"> A</w:t>
            </w:r>
          </w:p>
        </w:tc>
        <w:tc>
          <w:tcPr>
            <w:tcW w:w="1560"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15,00</w:t>
            </w:r>
          </w:p>
        </w:tc>
        <w:tc>
          <w:tcPr>
            <w:tcW w:w="1842"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50,00</w:t>
            </w:r>
          </w:p>
        </w:tc>
        <w:tc>
          <w:tcPr>
            <w:tcW w:w="1498"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color w:val="FF0000"/>
                <w:sz w:val="18"/>
                <w:szCs w:val="18"/>
                <w:lang w:eastAsia="pt-BR"/>
              </w:rPr>
            </w:pPr>
            <w:r w:rsidRPr="00132649">
              <w:rPr>
                <w:rFonts w:eastAsia="Times New Roman" w:cs="Arial"/>
                <w:color w:val="FF0000"/>
                <w:sz w:val="18"/>
                <w:szCs w:val="18"/>
                <w:lang w:eastAsia="pt-BR"/>
              </w:rPr>
              <w:t>50,00</w:t>
            </w:r>
          </w:p>
        </w:tc>
      </w:tr>
      <w:tr w:rsidR="00FA0D86" w:rsidRPr="00132649" w:rsidTr="00766925">
        <w:trPr>
          <w:trHeight w:val="255"/>
          <w:jc w:val="center"/>
        </w:trPr>
        <w:tc>
          <w:tcPr>
            <w:tcW w:w="3625" w:type="dxa"/>
            <w:shd w:val="clear" w:color="auto" w:fill="auto"/>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 xml:space="preserve">IRF-M / IDKA </w:t>
            </w:r>
            <w:proofErr w:type="spellStart"/>
            <w:r w:rsidRPr="00132649">
              <w:rPr>
                <w:rFonts w:eastAsia="Times New Roman" w:cs="Arial"/>
                <w:b/>
                <w:bCs/>
                <w:sz w:val="18"/>
                <w:szCs w:val="18"/>
                <w:lang w:eastAsia="pt-BR"/>
              </w:rPr>
              <w:t>Pré</w:t>
            </w:r>
            <w:proofErr w:type="spellEnd"/>
            <w:r w:rsidRPr="00132649">
              <w:rPr>
                <w:rFonts w:eastAsia="Times New Roman" w:cs="Arial"/>
                <w:b/>
                <w:bCs/>
                <w:sz w:val="18"/>
                <w:szCs w:val="18"/>
                <w:lang w:eastAsia="pt-BR"/>
              </w:rPr>
              <w:t xml:space="preserve"> </w:t>
            </w:r>
            <w:proofErr w:type="gramStart"/>
            <w:r w:rsidRPr="00132649">
              <w:rPr>
                <w:rFonts w:eastAsia="Times New Roman" w:cs="Arial"/>
                <w:b/>
                <w:bCs/>
                <w:sz w:val="18"/>
                <w:szCs w:val="18"/>
                <w:lang w:eastAsia="pt-BR"/>
              </w:rPr>
              <w:t>2</w:t>
            </w:r>
            <w:proofErr w:type="gramEnd"/>
            <w:r w:rsidRPr="00132649">
              <w:rPr>
                <w:rFonts w:eastAsia="Times New Roman" w:cs="Arial"/>
                <w:b/>
                <w:bCs/>
                <w:sz w:val="18"/>
                <w:szCs w:val="18"/>
                <w:lang w:eastAsia="pt-BR"/>
              </w:rPr>
              <w:t xml:space="preserve"> A</w:t>
            </w:r>
          </w:p>
        </w:tc>
        <w:tc>
          <w:tcPr>
            <w:tcW w:w="1560" w:type="dxa"/>
            <w:shd w:val="clear" w:color="auto" w:fill="auto"/>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842"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5,00</w:t>
            </w:r>
          </w:p>
        </w:tc>
        <w:tc>
          <w:tcPr>
            <w:tcW w:w="1498" w:type="dxa"/>
            <w:vAlign w:val="center"/>
          </w:tcPr>
          <w:p w:rsidR="00FA0D86" w:rsidRPr="00132649" w:rsidRDefault="00FA0D86" w:rsidP="00132649">
            <w:pPr>
              <w:spacing w:before="120" w:after="120" w:line="240" w:lineRule="auto"/>
              <w:ind w:left="-567" w:right="-568"/>
              <w:jc w:val="center"/>
              <w:rPr>
                <w:rFonts w:eastAsia="Times New Roman" w:cs="Arial"/>
                <w:color w:val="FF0000"/>
                <w:sz w:val="18"/>
                <w:szCs w:val="18"/>
                <w:lang w:eastAsia="pt-BR"/>
              </w:rPr>
            </w:pPr>
            <w:r w:rsidRPr="00132649">
              <w:rPr>
                <w:rFonts w:eastAsia="Times New Roman" w:cs="Arial"/>
                <w:color w:val="FF0000"/>
                <w:sz w:val="18"/>
                <w:szCs w:val="18"/>
                <w:lang w:eastAsia="pt-BR"/>
              </w:rPr>
              <w:t>50,00</w:t>
            </w:r>
          </w:p>
        </w:tc>
      </w:tr>
      <w:tr w:rsidR="00FA0D86" w:rsidRPr="00132649" w:rsidTr="00766925">
        <w:trPr>
          <w:trHeight w:val="255"/>
          <w:jc w:val="center"/>
        </w:trPr>
        <w:tc>
          <w:tcPr>
            <w:tcW w:w="3625"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CDI/SELIC</w:t>
            </w:r>
          </w:p>
        </w:tc>
        <w:tc>
          <w:tcPr>
            <w:tcW w:w="1560"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20,00</w:t>
            </w:r>
          </w:p>
        </w:tc>
        <w:tc>
          <w:tcPr>
            <w:tcW w:w="1842"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40,00</w:t>
            </w:r>
          </w:p>
        </w:tc>
        <w:tc>
          <w:tcPr>
            <w:tcW w:w="1498"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40,00</w:t>
            </w:r>
          </w:p>
        </w:tc>
      </w:tr>
      <w:tr w:rsidR="00FA0D86" w:rsidRPr="00132649" w:rsidTr="00766925">
        <w:trPr>
          <w:trHeight w:val="255"/>
          <w:jc w:val="center"/>
        </w:trPr>
        <w:tc>
          <w:tcPr>
            <w:tcW w:w="3625" w:type="dxa"/>
            <w:shd w:val="clear" w:color="auto" w:fill="auto"/>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AÇÕES - IBOVESPA/IBR-X/OUTROS</w:t>
            </w:r>
          </w:p>
        </w:tc>
        <w:tc>
          <w:tcPr>
            <w:tcW w:w="1560" w:type="dxa"/>
            <w:shd w:val="clear" w:color="auto" w:fill="auto"/>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842"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8,00</w:t>
            </w:r>
          </w:p>
        </w:tc>
        <w:tc>
          <w:tcPr>
            <w:tcW w:w="1498" w:type="dxa"/>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5,00</w:t>
            </w:r>
          </w:p>
        </w:tc>
      </w:tr>
      <w:tr w:rsidR="00FA0D86" w:rsidRPr="00132649" w:rsidTr="00766925">
        <w:trPr>
          <w:trHeight w:val="255"/>
          <w:jc w:val="center"/>
        </w:trPr>
        <w:tc>
          <w:tcPr>
            <w:tcW w:w="3625"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FII/FIP</w:t>
            </w:r>
          </w:p>
        </w:tc>
        <w:tc>
          <w:tcPr>
            <w:tcW w:w="1560" w:type="dxa"/>
            <w:tcBorders>
              <w:left w:val="nil"/>
              <w:right w:val="nil"/>
            </w:tcBorders>
            <w:shd w:val="clear" w:color="auto" w:fill="D9D9D9"/>
            <w:vAlign w:val="center"/>
            <w:hideMark/>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0,00</w:t>
            </w:r>
          </w:p>
        </w:tc>
        <w:tc>
          <w:tcPr>
            <w:tcW w:w="1842"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7,00</w:t>
            </w:r>
          </w:p>
        </w:tc>
        <w:tc>
          <w:tcPr>
            <w:tcW w:w="1498" w:type="dxa"/>
            <w:tcBorders>
              <w:left w:val="nil"/>
              <w:right w:val="nil"/>
            </w:tcBorders>
            <w:shd w:val="clear" w:color="auto" w:fill="D9D9D9"/>
            <w:vAlign w:val="center"/>
          </w:tcPr>
          <w:p w:rsidR="00FA0D86" w:rsidRPr="00132649" w:rsidRDefault="00FA0D86" w:rsidP="00132649">
            <w:pPr>
              <w:spacing w:before="120" w:after="12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5,00</w:t>
            </w:r>
          </w:p>
        </w:tc>
      </w:tr>
    </w:tbl>
    <w:p w:rsidR="00FA0D86" w:rsidRPr="00132649" w:rsidRDefault="00FA0D86" w:rsidP="00563EAB">
      <w:pPr>
        <w:spacing w:before="240" w:line="320" w:lineRule="exact"/>
        <w:ind w:right="-568"/>
        <w:jc w:val="both"/>
        <w:rPr>
          <w:rFonts w:eastAsia="Times New Roman" w:cs="Calibri"/>
          <w:sz w:val="18"/>
          <w:szCs w:val="18"/>
          <w:lang w:eastAsia="pt-BR"/>
        </w:rPr>
      </w:pPr>
    </w:p>
    <w:p w:rsidR="00FA0D86" w:rsidRPr="00132649" w:rsidRDefault="00FA0D86" w:rsidP="00132649">
      <w:pPr>
        <w:pStyle w:val="Ttulo2"/>
        <w:numPr>
          <w:ilvl w:val="1"/>
          <w:numId w:val="6"/>
        </w:numPr>
        <w:spacing w:before="240" w:line="320" w:lineRule="exact"/>
        <w:ind w:left="-567" w:right="-568" w:firstLine="0"/>
        <w:jc w:val="both"/>
        <w:rPr>
          <w:rFonts w:ascii="Calibri" w:hAnsi="Calibri"/>
          <w:color w:val="auto"/>
          <w:sz w:val="18"/>
          <w:szCs w:val="18"/>
        </w:rPr>
      </w:pPr>
      <w:bookmarkStart w:id="5" w:name="_Toc435259864"/>
      <w:r w:rsidRPr="00132649">
        <w:rPr>
          <w:rFonts w:ascii="Calibri" w:hAnsi="Calibri" w:cs="Calibri"/>
          <w:color w:val="auto"/>
          <w:sz w:val="18"/>
          <w:szCs w:val="18"/>
          <w:lang w:val="pt-BR" w:eastAsia="pt-BR"/>
        </w:rPr>
        <w:t>Objetivo de Alocação dos Recursos por Segmento de Aplicação e Carteira</w:t>
      </w:r>
      <w:bookmarkEnd w:id="5"/>
      <w:r w:rsidRPr="00132649">
        <w:rPr>
          <w:rFonts w:ascii="Calibri" w:hAnsi="Calibri" w:cs="Calibri"/>
          <w:color w:val="auto"/>
          <w:sz w:val="18"/>
          <w:szCs w:val="18"/>
          <w:lang w:val="pt-BR" w:eastAsia="pt-BR"/>
        </w:rPr>
        <w:t xml:space="preserve"> (</w:t>
      </w:r>
      <w:r w:rsidRPr="00132649">
        <w:rPr>
          <w:rFonts w:ascii="Calibri" w:hAnsi="Calibri" w:cs="Calibri"/>
          <w:color w:val="FF0000"/>
          <w:sz w:val="18"/>
          <w:szCs w:val="18"/>
          <w:lang w:val="pt-BR" w:eastAsia="pt-BR"/>
        </w:rPr>
        <w:t>quem é o que</w:t>
      </w:r>
      <w:proofErr w:type="gramStart"/>
      <w:r w:rsidRPr="00132649">
        <w:rPr>
          <w:rFonts w:ascii="Calibri" w:hAnsi="Calibri" w:cs="Calibri"/>
          <w:color w:val="FF0000"/>
          <w:sz w:val="18"/>
          <w:szCs w:val="18"/>
          <w:lang w:val="pt-BR" w:eastAsia="pt-BR"/>
        </w:rPr>
        <w:t>??????</w:t>
      </w:r>
      <w:proofErr w:type="gramEnd"/>
      <w:r w:rsidRPr="00132649">
        <w:rPr>
          <w:rFonts w:ascii="Calibri" w:hAnsi="Calibri" w:cs="Calibri"/>
          <w:color w:val="auto"/>
          <w:sz w:val="18"/>
          <w:szCs w:val="18"/>
          <w:lang w:val="pt-BR" w:eastAsia="pt-BR"/>
        </w:rPr>
        <w:t>)</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sz w:val="18"/>
          <w:szCs w:val="18"/>
        </w:rPr>
        <w:t>Na aplicação dos recursos, os responsáveis pela gestão dos recursos do RPPS observarão os limites estabelecidos por esta política de investimentos e pela Resolução CMN nº 3.922/2010, conforme descrito abaixo:</w:t>
      </w:r>
    </w:p>
    <w:tbl>
      <w:tblPr>
        <w:tblpPr w:leftFromText="141" w:rightFromText="141" w:vertAnchor="text" w:horzAnchor="margin" w:tblpXSpec="center" w:tblpY="249"/>
        <w:tblW w:w="8515" w:type="dxa"/>
        <w:tblCellMar>
          <w:left w:w="70" w:type="dxa"/>
          <w:right w:w="70" w:type="dxa"/>
        </w:tblCellMar>
        <w:tblLook w:val="04A0" w:firstRow="1" w:lastRow="0" w:firstColumn="1" w:lastColumn="0" w:noHBand="0" w:noVBand="1"/>
      </w:tblPr>
      <w:tblGrid>
        <w:gridCol w:w="5113"/>
        <w:gridCol w:w="1843"/>
        <w:gridCol w:w="1559"/>
      </w:tblGrid>
      <w:tr w:rsidR="00FA0D86" w:rsidRPr="00132649" w:rsidTr="00766925">
        <w:trPr>
          <w:trHeight w:val="397"/>
        </w:trPr>
        <w:tc>
          <w:tcPr>
            <w:tcW w:w="8515" w:type="dxa"/>
            <w:gridSpan w:val="3"/>
            <w:tcBorders>
              <w:top w:val="single" w:sz="8" w:space="0" w:color="auto"/>
              <w:left w:val="single" w:sz="8" w:space="0" w:color="auto"/>
              <w:right w:val="single" w:sz="8" w:space="0" w:color="000000"/>
            </w:tcBorders>
            <w:shd w:val="clear" w:color="auto" w:fill="D9D9D9"/>
            <w:noWrap/>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cs="Arial"/>
                <w:b/>
                <w:bCs/>
                <w:sz w:val="18"/>
                <w:szCs w:val="18"/>
              </w:rPr>
              <w:t>OBJETIVO DE ALOCAÇÃO DOS RECURSOS POR SEGMENTO DE APLICAÇÃO E CARTEIRA</w:t>
            </w:r>
          </w:p>
        </w:tc>
      </w:tr>
      <w:tr w:rsidR="00FA0D86" w:rsidRPr="00132649" w:rsidTr="00766925">
        <w:trPr>
          <w:trHeight w:val="397"/>
        </w:trPr>
        <w:tc>
          <w:tcPr>
            <w:tcW w:w="51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eastAsia="Times New Roman" w:cs="Arial"/>
                <w:b/>
                <w:bCs/>
                <w:sz w:val="18"/>
                <w:szCs w:val="18"/>
                <w:lang w:eastAsia="pt-BR"/>
              </w:rPr>
              <w:t>Alocação dos Recursos / Diversificação</w:t>
            </w:r>
          </w:p>
        </w:tc>
        <w:tc>
          <w:tcPr>
            <w:tcW w:w="340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eastAsia="Times New Roman" w:cs="Arial"/>
                <w:b/>
                <w:bCs/>
                <w:sz w:val="18"/>
                <w:szCs w:val="18"/>
                <w:lang w:eastAsia="pt-BR"/>
              </w:rPr>
              <w:t>Alocação dos Recursos</w:t>
            </w:r>
          </w:p>
        </w:tc>
      </w:tr>
      <w:tr w:rsidR="00FA0D86" w:rsidRPr="00132649" w:rsidTr="00766925">
        <w:trPr>
          <w:trHeight w:val="397"/>
        </w:trPr>
        <w:tc>
          <w:tcPr>
            <w:tcW w:w="5113" w:type="dxa"/>
            <w:vMerge/>
            <w:tcBorders>
              <w:top w:val="single" w:sz="8" w:space="0" w:color="auto"/>
              <w:left w:val="single" w:sz="8" w:space="0" w:color="auto"/>
              <w:bottom w:val="single" w:sz="8" w:space="0" w:color="000000"/>
              <w:right w:val="single" w:sz="8" w:space="0" w:color="auto"/>
            </w:tcBorders>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p>
        </w:tc>
        <w:tc>
          <w:tcPr>
            <w:tcW w:w="1843" w:type="dxa"/>
            <w:tcBorders>
              <w:top w:val="nil"/>
              <w:left w:val="nil"/>
              <w:bottom w:val="single" w:sz="8"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eastAsia="Times New Roman" w:cs="Arial"/>
                <w:b/>
                <w:bCs/>
                <w:sz w:val="18"/>
                <w:szCs w:val="18"/>
                <w:lang w:eastAsia="pt-BR"/>
              </w:rPr>
              <w:t xml:space="preserve">Limite </w:t>
            </w:r>
          </w:p>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eastAsia="Times New Roman" w:cs="Arial"/>
                <w:b/>
                <w:bCs/>
                <w:sz w:val="18"/>
                <w:szCs w:val="18"/>
                <w:lang w:eastAsia="pt-BR"/>
              </w:rPr>
              <w:t>Resolução %</w:t>
            </w:r>
          </w:p>
        </w:tc>
        <w:tc>
          <w:tcPr>
            <w:tcW w:w="1559" w:type="dxa"/>
            <w:tcBorders>
              <w:top w:val="nil"/>
              <w:left w:val="nil"/>
              <w:bottom w:val="single" w:sz="8" w:space="0" w:color="auto"/>
              <w:right w:val="single" w:sz="8"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b/>
                <w:bCs/>
                <w:sz w:val="18"/>
                <w:szCs w:val="18"/>
                <w:lang w:eastAsia="pt-BR"/>
              </w:rPr>
            </w:pPr>
            <w:r w:rsidRPr="00132649">
              <w:rPr>
                <w:rFonts w:eastAsia="Times New Roman" w:cs="Arial"/>
                <w:b/>
                <w:bCs/>
                <w:sz w:val="18"/>
                <w:szCs w:val="18"/>
                <w:lang w:eastAsia="pt-BR"/>
              </w:rPr>
              <w:t>Limite Alocação %</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lastRenderedPageBreak/>
              <w:t>Renda Fixa - Art. 7º</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sz w:val="18"/>
                <w:szCs w:val="18"/>
              </w:rPr>
              <w:t>-</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Títulos Tesouro Nacional – SELIC - Art. 7º, I, “a”.</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color w:val="FF0000"/>
                <w:sz w:val="18"/>
                <w:szCs w:val="18"/>
              </w:rPr>
            </w:pPr>
            <w:r w:rsidRPr="00132649">
              <w:rPr>
                <w:rFonts w:cs="Arial"/>
                <w:noProof/>
                <w:color w:val="FF0000"/>
                <w:sz w:val="18"/>
                <w:szCs w:val="18"/>
              </w:rPr>
              <w:t>100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100% títulos TN - Art. 7º, I, </w:t>
            </w:r>
            <w:proofErr w:type="gramStart"/>
            <w:r w:rsidRPr="00132649">
              <w:rPr>
                <w:rFonts w:eastAsia="Times New Roman" w:cs="Arial"/>
                <w:sz w:val="18"/>
                <w:szCs w:val="18"/>
                <w:lang w:eastAsia="pt-BR"/>
              </w:rPr>
              <w:t>"b"</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100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Operações Compromissadas - Art. 7º, II</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Renda Fixa/Referenciados RF - Art. 7º, III, Alínea </w:t>
            </w:r>
            <w:proofErr w:type="gramStart"/>
            <w:r w:rsidRPr="00132649">
              <w:rPr>
                <w:rFonts w:eastAsia="Times New Roman" w:cs="Arial"/>
                <w:sz w:val="18"/>
                <w:szCs w:val="18"/>
                <w:lang w:eastAsia="pt-BR"/>
              </w:rPr>
              <w:t>“a”</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80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sz w:val="18"/>
                <w:szCs w:val="18"/>
              </w:rPr>
              <w:t>10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de Índices Renda Fixa - Art. 7º, III, Alínea </w:t>
            </w:r>
            <w:proofErr w:type="gramStart"/>
            <w:r w:rsidRPr="00132649">
              <w:rPr>
                <w:rFonts w:eastAsia="Times New Roman" w:cs="Arial"/>
                <w:sz w:val="18"/>
                <w:szCs w:val="18"/>
                <w:lang w:eastAsia="pt-BR"/>
              </w:rPr>
              <w:t>“b”</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80</w:t>
            </w:r>
          </w:p>
        </w:tc>
        <w:tc>
          <w:tcPr>
            <w:tcW w:w="1559"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ind w:left="-567" w:right="-568"/>
              <w:jc w:val="center"/>
              <w:rPr>
                <w:rFonts w:cs="Arial"/>
                <w:noProof/>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de Renda Fixa - Art. 7º, IV, Alínea </w:t>
            </w:r>
            <w:proofErr w:type="gramStart"/>
            <w:r w:rsidRPr="00132649">
              <w:rPr>
                <w:rFonts w:eastAsia="Times New Roman" w:cs="Arial"/>
                <w:sz w:val="18"/>
                <w:szCs w:val="18"/>
                <w:lang w:eastAsia="pt-BR"/>
              </w:rPr>
              <w:t>“a”</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30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15</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de Índices Renda Fixa - Art. 7º, IV, Alínea </w:t>
            </w:r>
            <w:proofErr w:type="gramStart"/>
            <w:r w:rsidRPr="00132649">
              <w:rPr>
                <w:rFonts w:eastAsia="Times New Roman" w:cs="Arial"/>
                <w:sz w:val="18"/>
                <w:szCs w:val="18"/>
                <w:lang w:eastAsia="pt-BR"/>
              </w:rPr>
              <w:t>“b”</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30</w:t>
            </w:r>
          </w:p>
        </w:tc>
        <w:tc>
          <w:tcPr>
            <w:tcW w:w="1559"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ind w:left="-567" w:right="-568"/>
              <w:jc w:val="center"/>
              <w:rPr>
                <w:rFonts w:cs="Arial"/>
                <w:noProof/>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Poupança - Art. 7º, V, Alínea “a”</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20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Letras Imobiliárias Garantidas- Art. 7º, V, Alínea </w:t>
            </w:r>
            <w:proofErr w:type="gramStart"/>
            <w:r w:rsidRPr="00132649">
              <w:rPr>
                <w:rFonts w:eastAsia="Times New Roman" w:cs="Arial"/>
                <w:sz w:val="18"/>
                <w:szCs w:val="18"/>
                <w:lang w:eastAsia="pt-BR"/>
              </w:rPr>
              <w:t>“b”</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20</w:t>
            </w:r>
          </w:p>
        </w:tc>
        <w:tc>
          <w:tcPr>
            <w:tcW w:w="1559" w:type="dxa"/>
            <w:tcBorders>
              <w:top w:val="nil"/>
              <w:left w:val="nil"/>
              <w:bottom w:val="single" w:sz="4" w:space="0" w:color="auto"/>
              <w:right w:val="single" w:sz="4" w:space="0" w:color="auto"/>
            </w:tcBorders>
            <w:shd w:val="clear" w:color="auto" w:fill="auto"/>
            <w:noWrap/>
            <w:vAlign w:val="center"/>
          </w:tcPr>
          <w:p w:rsidR="00FA0D86" w:rsidRPr="00132649" w:rsidRDefault="00FA0D86" w:rsidP="00132649">
            <w:pPr>
              <w:spacing w:after="0"/>
              <w:ind w:left="-567" w:right="-568"/>
              <w:jc w:val="center"/>
              <w:rPr>
                <w:rFonts w:cs="Arial"/>
                <w:noProof/>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FI em Direitos Creditórios - aberto - Art. 7º, VI.</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em Direitos Creditórios - fechado - Art. 7º, VII, </w:t>
            </w:r>
            <w:proofErr w:type="gramStart"/>
            <w:r w:rsidRPr="00132649">
              <w:rPr>
                <w:rFonts w:eastAsia="Times New Roman" w:cs="Arial"/>
                <w:sz w:val="18"/>
                <w:szCs w:val="18"/>
                <w:lang w:eastAsia="pt-BR"/>
              </w:rPr>
              <w:t>"a"</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proofErr w:type="gramStart"/>
            <w:r w:rsidRPr="00132649">
              <w:rPr>
                <w:rFonts w:eastAsia="Times New Roman" w:cs="Arial"/>
                <w:sz w:val="18"/>
                <w:szCs w:val="18"/>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proofErr w:type="gramStart"/>
            <w:r w:rsidRPr="00132649">
              <w:rPr>
                <w:rFonts w:cs="Arial"/>
                <w:sz w:val="18"/>
                <w:szCs w:val="18"/>
              </w:rPr>
              <w:t>0</w:t>
            </w:r>
            <w:proofErr w:type="gramEnd"/>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Renda Fixa "Crédito Privado"- Art. 7º, VII, </w:t>
            </w:r>
            <w:proofErr w:type="gramStart"/>
            <w:r w:rsidRPr="00132649">
              <w:rPr>
                <w:rFonts w:eastAsia="Times New Roman" w:cs="Arial"/>
                <w:sz w:val="18"/>
                <w:szCs w:val="18"/>
                <w:lang w:eastAsia="pt-BR"/>
              </w:rPr>
              <w:t>"b"</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proofErr w:type="gramStart"/>
            <w:r w:rsidRPr="00132649">
              <w:rPr>
                <w:rFonts w:eastAsia="Times New Roman" w:cs="Arial"/>
                <w:sz w:val="18"/>
                <w:szCs w:val="18"/>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single" w:sz="4" w:space="0" w:color="auto"/>
              <w:left w:val="single" w:sz="8" w:space="0" w:color="auto"/>
              <w:bottom w:val="single" w:sz="4" w:space="0" w:color="auto"/>
              <w:right w:val="single" w:sz="4" w:space="0" w:color="auto"/>
            </w:tcBorders>
            <w:shd w:val="clear" w:color="auto" w:fill="D9D9D9"/>
            <w:noWrap/>
            <w:vAlign w:val="center"/>
            <w:hideMark/>
          </w:tcPr>
          <w:p w:rsidR="00FA0D86" w:rsidRPr="00132649" w:rsidRDefault="00FA0D86" w:rsidP="00132649">
            <w:pPr>
              <w:spacing w:after="0" w:line="240" w:lineRule="auto"/>
              <w:ind w:left="-567" w:right="-568"/>
              <w:rPr>
                <w:rFonts w:eastAsia="Times New Roman" w:cs="Arial"/>
                <w:b/>
                <w:sz w:val="18"/>
                <w:szCs w:val="18"/>
                <w:lang w:eastAsia="pt-BR"/>
              </w:rPr>
            </w:pPr>
            <w:r w:rsidRPr="00132649">
              <w:rPr>
                <w:rFonts w:eastAsia="Times New Roman" w:cs="Arial"/>
                <w:b/>
                <w:sz w:val="18"/>
                <w:szCs w:val="18"/>
                <w:lang w:eastAsia="pt-BR"/>
              </w:rPr>
              <w:t>Total do segmento</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FA0D86" w:rsidRPr="00132649" w:rsidRDefault="00FA0D86" w:rsidP="00132649">
            <w:pPr>
              <w:spacing w:after="0" w:line="240" w:lineRule="auto"/>
              <w:ind w:left="-567" w:right="-568"/>
              <w:jc w:val="center"/>
              <w:rPr>
                <w:rFonts w:eastAsia="Times New Roman" w:cs="Arial"/>
                <w:b/>
                <w:sz w:val="18"/>
                <w:szCs w:val="18"/>
                <w:lang w:eastAsia="pt-BR"/>
              </w:rPr>
            </w:pPr>
            <w:r w:rsidRPr="00132649">
              <w:rPr>
                <w:rFonts w:eastAsia="Times New Roman" w:cs="Arial"/>
                <w:b/>
                <w:sz w:val="18"/>
                <w:szCs w:val="18"/>
                <w:lang w:eastAsia="pt-BR"/>
              </w:rPr>
              <w:t>100</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FA0D86" w:rsidRPr="00132649" w:rsidRDefault="00FA0D86" w:rsidP="00132649">
            <w:pPr>
              <w:spacing w:after="0"/>
              <w:ind w:left="-567" w:right="-568"/>
              <w:jc w:val="center"/>
              <w:rPr>
                <w:rFonts w:cs="Arial"/>
                <w:b/>
                <w:sz w:val="18"/>
                <w:szCs w:val="18"/>
              </w:rPr>
            </w:pPr>
            <w:r w:rsidRPr="00132649">
              <w:rPr>
                <w:rFonts w:cs="Arial"/>
                <w:b/>
                <w:sz w:val="18"/>
                <w:szCs w:val="18"/>
              </w:rPr>
              <w:t>125</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Renda Variável - Art. 8º</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30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sz w:val="18"/>
                <w:szCs w:val="18"/>
              </w:rPr>
              <w:t>-</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Ações Referenciados - Art. 8º, </w:t>
            </w:r>
            <w:proofErr w:type="gramStart"/>
            <w:r w:rsidRPr="00132649">
              <w:rPr>
                <w:rFonts w:eastAsia="Times New Roman" w:cs="Arial"/>
                <w:sz w:val="18"/>
                <w:szCs w:val="18"/>
                <w:lang w:eastAsia="pt-BR"/>
              </w:rPr>
              <w:t>I</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30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de Índices Referenciados em Ações - Art. 8º, </w:t>
            </w:r>
            <w:proofErr w:type="gramStart"/>
            <w:r w:rsidRPr="00132649">
              <w:rPr>
                <w:rFonts w:eastAsia="Times New Roman" w:cs="Arial"/>
                <w:sz w:val="18"/>
                <w:szCs w:val="18"/>
                <w:lang w:eastAsia="pt-BR"/>
              </w:rPr>
              <w:t>II</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20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em Ações - Art. 8º, </w:t>
            </w:r>
            <w:proofErr w:type="gramStart"/>
            <w:r w:rsidRPr="00132649">
              <w:rPr>
                <w:rFonts w:eastAsia="Times New Roman" w:cs="Arial"/>
                <w:sz w:val="18"/>
                <w:szCs w:val="18"/>
                <w:lang w:eastAsia="pt-BR"/>
              </w:rPr>
              <w:t>III</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15</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5</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Multimercado - aberto - Art. 8º, </w:t>
            </w:r>
            <w:proofErr w:type="gramStart"/>
            <w:r w:rsidRPr="00132649">
              <w:rPr>
                <w:rFonts w:eastAsia="Times New Roman" w:cs="Arial"/>
                <w:sz w:val="18"/>
                <w:szCs w:val="18"/>
                <w:lang w:eastAsia="pt-BR"/>
              </w:rPr>
              <w:t>IV</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proofErr w:type="gramStart"/>
            <w:r w:rsidRPr="00132649">
              <w:rPr>
                <w:rFonts w:eastAsia="Times New Roman" w:cs="Arial"/>
                <w:sz w:val="18"/>
                <w:szCs w:val="18"/>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em Participações - fechado - Art. 8º, </w:t>
            </w:r>
            <w:proofErr w:type="gramStart"/>
            <w:r w:rsidRPr="00132649">
              <w:rPr>
                <w:rFonts w:eastAsia="Times New Roman" w:cs="Arial"/>
                <w:sz w:val="18"/>
                <w:szCs w:val="18"/>
                <w:lang w:eastAsia="pt-BR"/>
              </w:rPr>
              <w:t>V</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proofErr w:type="gramStart"/>
            <w:r w:rsidRPr="00132649">
              <w:rPr>
                <w:rFonts w:eastAsia="Times New Roman" w:cs="Arial"/>
                <w:sz w:val="18"/>
                <w:szCs w:val="18"/>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sz w:val="18"/>
                <w:szCs w:val="18"/>
                <w:lang w:eastAsia="pt-BR"/>
              </w:rPr>
            </w:pPr>
            <w:r w:rsidRPr="00132649">
              <w:rPr>
                <w:rFonts w:eastAsia="Times New Roman" w:cs="Arial"/>
                <w:sz w:val="18"/>
                <w:szCs w:val="18"/>
                <w:lang w:eastAsia="pt-BR"/>
              </w:rPr>
              <w:t xml:space="preserve">FI Imobiliário - cotas negociadas em bolsa - Art. 8º, </w:t>
            </w:r>
            <w:proofErr w:type="gramStart"/>
            <w:r w:rsidRPr="00132649">
              <w:rPr>
                <w:rFonts w:eastAsia="Times New Roman" w:cs="Arial"/>
                <w:sz w:val="18"/>
                <w:szCs w:val="18"/>
                <w:lang w:eastAsia="pt-BR"/>
              </w:rPr>
              <w:t>VI</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proofErr w:type="gramStart"/>
            <w:r w:rsidRPr="00132649">
              <w:rPr>
                <w:rFonts w:eastAsia="Times New Roman" w:cs="Arial"/>
                <w:sz w:val="18"/>
                <w:szCs w:val="18"/>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noProof/>
                <w:sz w:val="18"/>
                <w:szCs w:val="18"/>
              </w:rPr>
              <w:t>0</w:t>
            </w:r>
          </w:p>
        </w:tc>
      </w:tr>
      <w:tr w:rsidR="00FA0D86" w:rsidRPr="00132649" w:rsidTr="00766925">
        <w:trPr>
          <w:trHeight w:val="397"/>
        </w:trPr>
        <w:tc>
          <w:tcPr>
            <w:tcW w:w="5113"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FA0D86" w:rsidRPr="00132649" w:rsidRDefault="00FA0D86" w:rsidP="00132649">
            <w:pPr>
              <w:spacing w:after="0" w:line="240" w:lineRule="auto"/>
              <w:ind w:left="-567" w:right="-568"/>
              <w:rPr>
                <w:rFonts w:eastAsia="Times New Roman" w:cs="Arial"/>
                <w:b/>
                <w:sz w:val="18"/>
                <w:szCs w:val="18"/>
                <w:lang w:eastAsia="pt-BR"/>
              </w:rPr>
            </w:pPr>
            <w:r w:rsidRPr="00132649">
              <w:rPr>
                <w:rFonts w:eastAsia="Times New Roman" w:cs="Arial"/>
                <w:b/>
                <w:sz w:val="18"/>
                <w:szCs w:val="18"/>
                <w:lang w:eastAsia="pt-BR"/>
              </w:rPr>
              <w:t>Total do segmento</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FA0D86" w:rsidRPr="00132649" w:rsidRDefault="00FA0D86" w:rsidP="00132649">
            <w:pPr>
              <w:spacing w:after="0" w:line="240" w:lineRule="auto"/>
              <w:ind w:left="-567" w:right="-568"/>
              <w:jc w:val="center"/>
              <w:rPr>
                <w:rFonts w:eastAsia="Times New Roman" w:cs="Arial"/>
                <w:b/>
                <w:sz w:val="18"/>
                <w:szCs w:val="18"/>
                <w:lang w:eastAsia="pt-BR"/>
              </w:rPr>
            </w:pPr>
            <w:r w:rsidRPr="00132649">
              <w:rPr>
                <w:rFonts w:eastAsia="Times New Roman" w:cs="Arial"/>
                <w:b/>
                <w:sz w:val="18"/>
                <w:szCs w:val="18"/>
                <w:lang w:eastAsia="pt-BR"/>
              </w:rPr>
              <w:t>30</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rsidR="00FA0D86" w:rsidRPr="00132649" w:rsidRDefault="00FA0D86" w:rsidP="00132649">
            <w:pPr>
              <w:spacing w:after="0"/>
              <w:ind w:left="-567" w:right="-568"/>
              <w:jc w:val="center"/>
              <w:rPr>
                <w:rFonts w:cs="Arial"/>
                <w:b/>
                <w:sz w:val="18"/>
                <w:szCs w:val="18"/>
              </w:rPr>
            </w:pPr>
            <w:r w:rsidRPr="00132649">
              <w:rPr>
                <w:rFonts w:cs="Arial"/>
                <w:b/>
                <w:noProof/>
                <w:sz w:val="18"/>
                <w:szCs w:val="18"/>
              </w:rPr>
              <w:t>5</w:t>
            </w:r>
          </w:p>
        </w:tc>
      </w:tr>
      <w:tr w:rsidR="00FA0D86" w:rsidRPr="00132649" w:rsidTr="00766925">
        <w:trPr>
          <w:trHeight w:val="397"/>
        </w:trPr>
        <w:tc>
          <w:tcPr>
            <w:tcW w:w="5113" w:type="dxa"/>
            <w:tcBorders>
              <w:top w:val="nil"/>
              <w:left w:val="single" w:sz="8" w:space="0" w:color="auto"/>
              <w:bottom w:val="single" w:sz="4" w:space="0" w:color="auto"/>
              <w:right w:val="single" w:sz="4" w:space="0" w:color="auto"/>
            </w:tcBorders>
            <w:shd w:val="clear" w:color="auto" w:fill="auto"/>
            <w:vAlign w:val="center"/>
            <w:hideMark/>
          </w:tcPr>
          <w:p w:rsidR="00FA0D86" w:rsidRPr="00132649" w:rsidRDefault="00FA0D86" w:rsidP="00132649">
            <w:pPr>
              <w:spacing w:after="0" w:line="240" w:lineRule="auto"/>
              <w:ind w:left="-567" w:right="-568"/>
              <w:rPr>
                <w:rFonts w:eastAsia="Times New Roman" w:cs="Arial"/>
                <w:b/>
                <w:bCs/>
                <w:sz w:val="18"/>
                <w:szCs w:val="18"/>
                <w:lang w:eastAsia="pt-BR"/>
              </w:rPr>
            </w:pPr>
            <w:r w:rsidRPr="00132649">
              <w:rPr>
                <w:rFonts w:eastAsia="Times New Roman" w:cs="Arial"/>
                <w:b/>
                <w:bCs/>
                <w:sz w:val="18"/>
                <w:szCs w:val="18"/>
                <w:lang w:eastAsia="pt-BR"/>
              </w:rPr>
              <w:t>Total Geral</w:t>
            </w:r>
          </w:p>
        </w:tc>
        <w:tc>
          <w:tcPr>
            <w:tcW w:w="1843"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line="240" w:lineRule="auto"/>
              <w:ind w:left="-567" w:right="-568"/>
              <w:jc w:val="center"/>
              <w:rPr>
                <w:rFonts w:eastAsia="Times New Roman" w:cs="Arial"/>
                <w:sz w:val="18"/>
                <w:szCs w:val="18"/>
                <w:lang w:eastAsia="pt-BR"/>
              </w:rPr>
            </w:pPr>
            <w:r w:rsidRPr="00132649">
              <w:rPr>
                <w:rFonts w:eastAsia="Times New Roman" w:cs="Arial"/>
                <w:sz w:val="18"/>
                <w:szCs w:val="18"/>
                <w:lang w:eastAsia="pt-BR"/>
              </w:rPr>
              <w:t>100</w:t>
            </w:r>
          </w:p>
        </w:tc>
        <w:tc>
          <w:tcPr>
            <w:tcW w:w="1559" w:type="dxa"/>
            <w:tcBorders>
              <w:top w:val="nil"/>
              <w:left w:val="nil"/>
              <w:bottom w:val="single" w:sz="4" w:space="0" w:color="auto"/>
              <w:right w:val="single" w:sz="4" w:space="0" w:color="auto"/>
            </w:tcBorders>
            <w:shd w:val="clear" w:color="auto" w:fill="auto"/>
            <w:noWrap/>
            <w:vAlign w:val="center"/>
            <w:hideMark/>
          </w:tcPr>
          <w:p w:rsidR="00FA0D86" w:rsidRPr="00132649" w:rsidRDefault="00FA0D86" w:rsidP="00132649">
            <w:pPr>
              <w:spacing w:after="0"/>
              <w:ind w:left="-567" w:right="-568"/>
              <w:jc w:val="center"/>
              <w:rPr>
                <w:rFonts w:cs="Arial"/>
                <w:sz w:val="18"/>
                <w:szCs w:val="18"/>
              </w:rPr>
            </w:pPr>
            <w:r w:rsidRPr="00132649">
              <w:rPr>
                <w:rFonts w:cs="Arial"/>
                <w:sz w:val="18"/>
                <w:szCs w:val="18"/>
              </w:rPr>
              <w:t>130</w:t>
            </w:r>
          </w:p>
        </w:tc>
      </w:tr>
    </w:tbl>
    <w:p w:rsidR="00FA0D86" w:rsidRPr="00132649" w:rsidRDefault="00FA0D86" w:rsidP="00563EAB">
      <w:pPr>
        <w:spacing w:before="240" w:line="320" w:lineRule="exact"/>
        <w:ind w:left="-567" w:right="-568"/>
        <w:jc w:val="both"/>
        <w:rPr>
          <w:sz w:val="18"/>
          <w:szCs w:val="18"/>
        </w:rPr>
      </w:pPr>
      <w:r w:rsidRPr="00132649">
        <w:rPr>
          <w:sz w:val="18"/>
          <w:szCs w:val="18"/>
        </w:rPr>
        <w:t xml:space="preserve">As alocações estratégicas dos recursos foram definidas considerando o cenário macroeconômico e as expectativas de mercado vigentes quando da elaboração desta política de investimentos, conforme descrito no item </w:t>
      </w:r>
      <w:proofErr w:type="gramStart"/>
      <w:r w:rsidRPr="00132649">
        <w:rPr>
          <w:sz w:val="18"/>
          <w:szCs w:val="18"/>
        </w:rPr>
        <w:t>3</w:t>
      </w:r>
      <w:proofErr w:type="gramEnd"/>
      <w:r w:rsidRPr="00132649">
        <w:rPr>
          <w:sz w:val="18"/>
          <w:szCs w:val="18"/>
        </w:rPr>
        <w:t xml:space="preserve"> acima.</w:t>
      </w: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6" w:name="_Toc435259865"/>
      <w:r w:rsidRPr="00132649">
        <w:rPr>
          <w:rFonts w:ascii="Calibri" w:hAnsi="Calibri" w:cs="Calibri"/>
          <w:color w:val="auto"/>
          <w:sz w:val="18"/>
          <w:szCs w:val="18"/>
          <w:lang w:eastAsia="pt-BR"/>
        </w:rPr>
        <w:t>Segmento de Renda Fixa</w:t>
      </w:r>
      <w:bookmarkEnd w:id="6"/>
    </w:p>
    <w:p w:rsidR="00FA0D86" w:rsidRPr="00132649" w:rsidRDefault="00FA0D86" w:rsidP="00132649">
      <w:pPr>
        <w:spacing w:before="240" w:line="320" w:lineRule="exact"/>
        <w:ind w:left="-567" w:right="-568"/>
        <w:jc w:val="both"/>
        <w:rPr>
          <w:rFonts w:eastAsia="Times New Roman" w:cs="Calibri"/>
          <w:b/>
          <w:sz w:val="18"/>
          <w:szCs w:val="18"/>
          <w:lang w:eastAsia="pt-BR"/>
        </w:rPr>
      </w:pPr>
      <w:r w:rsidRPr="00132649">
        <w:rPr>
          <w:rFonts w:eastAsia="Times New Roman" w:cs="Calibri"/>
          <w:sz w:val="18"/>
          <w:szCs w:val="18"/>
          <w:lang w:eastAsia="pt-BR"/>
        </w:rPr>
        <w:t xml:space="preserve">Obedecendo-se os limites permitidos pela Resolução CMN n° 3922/2010, propõe-se adotar </w:t>
      </w:r>
      <w:r w:rsidRPr="00132649">
        <w:rPr>
          <w:rFonts w:eastAsia="Times New Roman" w:cs="Calibri"/>
          <w:b/>
          <w:sz w:val="18"/>
          <w:szCs w:val="18"/>
          <w:lang w:eastAsia="pt-BR"/>
        </w:rPr>
        <w:t xml:space="preserve">o limite de no mínimo </w:t>
      </w:r>
      <w:r w:rsidRPr="00132649">
        <w:rPr>
          <w:rFonts w:eastAsia="Times New Roman" w:cs="Calibri"/>
          <w:b/>
          <w:noProof/>
          <w:sz w:val="18"/>
          <w:szCs w:val="18"/>
          <w:lang w:eastAsia="pt-BR"/>
        </w:rPr>
        <w:t>80% (oitenta por cento)</w:t>
      </w:r>
      <w:r w:rsidRPr="00132649">
        <w:rPr>
          <w:rFonts w:eastAsia="Times New Roman" w:cs="Calibri"/>
          <w:b/>
          <w:sz w:val="18"/>
          <w:szCs w:val="18"/>
          <w:lang w:eastAsia="pt-BR"/>
        </w:rPr>
        <w:t xml:space="preserve"> e no máximo 100% (cem por cento) dos investimentos financeiros do RPPS, no segmento de renda fixa.</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 negociação de títulos e valores mobiliários no mercado secundário (compra/venda de títulos públicos) obedecerá ao disposto, Art. 7º, inciso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FA0D86" w:rsidRPr="00132649" w:rsidRDefault="00FA0D86" w:rsidP="00132649">
      <w:pPr>
        <w:autoSpaceDE w:val="0"/>
        <w:autoSpaceDN w:val="0"/>
        <w:adjustRightInd w:val="0"/>
        <w:spacing w:after="120" w:line="288" w:lineRule="auto"/>
        <w:ind w:left="-567" w:right="-568"/>
        <w:jc w:val="both"/>
        <w:rPr>
          <w:rFonts w:cs="Arial"/>
          <w:sz w:val="18"/>
          <w:szCs w:val="18"/>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7" w:name="_Toc435259866"/>
      <w:r w:rsidRPr="00132649">
        <w:rPr>
          <w:rFonts w:ascii="Calibri" w:hAnsi="Calibri" w:cs="Calibri"/>
          <w:color w:val="auto"/>
          <w:sz w:val="18"/>
          <w:szCs w:val="18"/>
          <w:lang w:eastAsia="pt-BR"/>
        </w:rPr>
        <w:lastRenderedPageBreak/>
        <w:t>Segmento de Renda Variável</w:t>
      </w:r>
      <w:bookmarkEnd w:id="7"/>
    </w:p>
    <w:p w:rsidR="00FA0D86" w:rsidRPr="00563EAB" w:rsidRDefault="00FA0D86" w:rsidP="00563EAB">
      <w:pPr>
        <w:spacing w:before="240" w:line="320" w:lineRule="exact"/>
        <w:ind w:left="-567" w:right="-568"/>
        <w:jc w:val="both"/>
        <w:rPr>
          <w:rFonts w:eastAsia="Times New Roman" w:cs="Calibri"/>
          <w:b/>
          <w:sz w:val="18"/>
          <w:szCs w:val="18"/>
          <w:lang w:eastAsia="pt-BR"/>
        </w:rPr>
      </w:pPr>
      <w:r w:rsidRPr="00132649">
        <w:rPr>
          <w:rFonts w:eastAsia="Times New Roman" w:cs="Calibri"/>
          <w:sz w:val="18"/>
          <w:szCs w:val="18"/>
          <w:lang w:eastAsia="pt-BR"/>
        </w:rPr>
        <w:t xml:space="preserve">Em relação ao segmento de renda variável, cuja limitação legal estabelece que os recursos alocados nos investimentos, cumulativamente, não deverão exceder a 30% (trinta por cento) da totalidade dos recursos em moeda corrente do RPPS, </w:t>
      </w:r>
      <w:r w:rsidRPr="00132649">
        <w:rPr>
          <w:rFonts w:eastAsia="Times New Roman" w:cs="Calibri"/>
          <w:b/>
          <w:sz w:val="18"/>
          <w:szCs w:val="18"/>
          <w:lang w:eastAsia="pt-BR"/>
        </w:rPr>
        <w:t xml:space="preserve">limitar-se-ão a </w:t>
      </w:r>
      <w:r w:rsidRPr="00132649">
        <w:rPr>
          <w:rFonts w:eastAsia="Times New Roman" w:cs="Calibri"/>
          <w:b/>
          <w:noProof/>
          <w:sz w:val="18"/>
          <w:szCs w:val="18"/>
          <w:lang w:eastAsia="pt-BR"/>
        </w:rPr>
        <w:t>20% (vinte por cento)</w:t>
      </w:r>
      <w:r w:rsidRPr="00132649">
        <w:rPr>
          <w:rFonts w:eastAsia="Times New Roman" w:cs="Calibri"/>
          <w:b/>
          <w:sz w:val="18"/>
          <w:szCs w:val="18"/>
          <w:lang w:eastAsia="pt-BR"/>
        </w:rPr>
        <w:t xml:space="preserve"> da totalidade dos investimentos financeiros do RPPS.                                                              </w:t>
      </w:r>
      <w:r w:rsidRPr="00132649">
        <w:rPr>
          <w:rFonts w:cs="Arial"/>
          <w:sz w:val="18"/>
          <w:szCs w:val="18"/>
        </w:rPr>
        <w:t xml:space="preserve">                                    </w:t>
      </w: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8" w:name="_Toc435259867"/>
      <w:r w:rsidRPr="00132649">
        <w:rPr>
          <w:rFonts w:ascii="Calibri" w:hAnsi="Calibri" w:cs="Calibri"/>
          <w:color w:val="auto"/>
          <w:sz w:val="18"/>
          <w:szCs w:val="18"/>
          <w:lang w:eastAsia="pt-BR"/>
        </w:rPr>
        <w:t>Segmento de Imóveis</w:t>
      </w:r>
      <w:bookmarkEnd w:id="8"/>
    </w:p>
    <w:p w:rsidR="00FA0D86" w:rsidRPr="00563EAB"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Conforme o artigo 9º da Resolução CMN nº 3.922/2010, as alocações no segmento de imóveis serão efetuadas, exclusivamente, com os terrenos ou outros imóveis vinculados por lei ao </w:t>
      </w:r>
      <w:proofErr w:type="spellStart"/>
      <w:proofErr w:type="gramStart"/>
      <w:r w:rsidRPr="00132649">
        <w:rPr>
          <w:rFonts w:eastAsia="Times New Roman" w:cs="Calibri"/>
          <w:sz w:val="18"/>
          <w:szCs w:val="18"/>
          <w:lang w:eastAsia="pt-BR"/>
        </w:rPr>
        <w:t>RPPS.</w:t>
      </w:r>
      <w:proofErr w:type="gramEnd"/>
      <w:r w:rsidRPr="00132649">
        <w:rPr>
          <w:rFonts w:eastAsia="Times New Roman" w:cs="Calibri"/>
          <w:sz w:val="18"/>
          <w:szCs w:val="18"/>
          <w:lang w:eastAsia="pt-BR"/>
        </w:rPr>
        <w:t>Os</w:t>
      </w:r>
      <w:proofErr w:type="spellEnd"/>
      <w:r w:rsidRPr="00132649">
        <w:rPr>
          <w:rFonts w:eastAsia="Times New Roman" w:cs="Calibri"/>
          <w:sz w:val="18"/>
          <w:szCs w:val="18"/>
          <w:lang w:eastAsia="pt-BR"/>
        </w:rPr>
        <w:t xml:space="preserve"> imóveis repassados pelo Município deverão estar devidamente registrados em Cartório de Registro de Imóveis, livres de quaisquer ônus ou gravame, e possuir as certidões negativas de tributos, em especial o Imposto Predial e Territorial Urbano – IPTU ou o Imposto sobre a Propriedade Territorial Rural – ITR. Os imóveis poderão ser utilizados para a aquisição e/ou integralização de Cotas de Fundos de Investimento Imobiliário, cujas cotas sejam negociadas em ambiente de bolsa de valores, com exceção dos mercados de balcão organizados e não organizados. Deverá ser observado também critérios de Rentabilidade, Liquidez e Segurança.</w:t>
      </w: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9" w:name="_Toc435259868"/>
      <w:r w:rsidRPr="00132649">
        <w:rPr>
          <w:rFonts w:ascii="Calibri" w:hAnsi="Calibri" w:cs="Calibri"/>
          <w:color w:val="auto"/>
          <w:sz w:val="18"/>
          <w:szCs w:val="18"/>
          <w:lang w:eastAsia="pt-BR"/>
        </w:rPr>
        <w:t>Vedações</w:t>
      </w:r>
      <w:bookmarkEnd w:id="9"/>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O comitê de investimento do INSTITUTO DE PREVIDÊNCIA SOCIAL DOS SERVIDORES MUNICIPAIS DE NOVA ALVORADA DO SUL deverá seguir as vedações estabelecidas pela Resolução CMN n° 3.922/2010, ficando adicionalmente vedada a aquisição de:</w:t>
      </w:r>
    </w:p>
    <w:p w:rsidR="00FA0D86" w:rsidRPr="00132649" w:rsidRDefault="00FA0D86" w:rsidP="00132649">
      <w:pPr>
        <w:numPr>
          <w:ilvl w:val="0"/>
          <w:numId w:val="3"/>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FA0D86" w:rsidRPr="00132649" w:rsidRDefault="00FA0D86" w:rsidP="00132649">
      <w:pPr>
        <w:numPr>
          <w:ilvl w:val="0"/>
          <w:numId w:val="3"/>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Cotas de Fundos de Investimentos Imobiliários (FII) que não estejam listados em mercado de bolsa (Pregão);</w:t>
      </w:r>
    </w:p>
    <w:p w:rsidR="00FA0D86" w:rsidRPr="00132649" w:rsidRDefault="00FA0D86" w:rsidP="00132649">
      <w:pPr>
        <w:numPr>
          <w:ilvl w:val="0"/>
          <w:numId w:val="3"/>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 xml:space="preserve">Cotas de Fundos de Investimentos que apresente, em seu regulamento, a possibilidade de aquisição de ativos que guardem relação com ativos classificados como no exterior (Ex.: Dívida Externa e </w:t>
      </w:r>
      <w:proofErr w:type="spellStart"/>
      <w:r w:rsidRPr="00132649">
        <w:rPr>
          <w:rFonts w:eastAsia="Times New Roman" w:cs="Calibri"/>
          <w:sz w:val="18"/>
          <w:szCs w:val="18"/>
          <w:lang w:eastAsia="pt-BR"/>
        </w:rPr>
        <w:t>BDR’s</w:t>
      </w:r>
      <w:proofErr w:type="spellEnd"/>
      <w:r w:rsidRPr="00132649">
        <w:rPr>
          <w:rFonts w:eastAsia="Times New Roman" w:cs="Calibri"/>
          <w:sz w:val="18"/>
          <w:szCs w:val="18"/>
          <w:lang w:eastAsia="pt-BR"/>
        </w:rPr>
        <w:t>).</w:t>
      </w:r>
    </w:p>
    <w:tbl>
      <w:tblPr>
        <w:tblW w:w="0" w:type="auto"/>
        <w:shd w:val="clear" w:color="auto" w:fill="F2F2F2"/>
        <w:tblLook w:val="04A0" w:firstRow="1" w:lastRow="0" w:firstColumn="1" w:lastColumn="0" w:noHBand="0" w:noVBand="1"/>
      </w:tblPr>
      <w:tblGrid>
        <w:gridCol w:w="8720"/>
      </w:tblGrid>
      <w:tr w:rsidR="00FA0D86" w:rsidRPr="00132649" w:rsidTr="00563EAB">
        <w:trPr>
          <w:trHeight w:val="328"/>
        </w:trPr>
        <w:tc>
          <w:tcPr>
            <w:tcW w:w="872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bookmarkStart w:id="10" w:name="_Toc435259869"/>
            <w:r w:rsidRPr="00132649">
              <w:rPr>
                <w:rFonts w:ascii="Calibri" w:hAnsi="Calibri"/>
                <w:color w:val="auto"/>
                <w:sz w:val="18"/>
                <w:szCs w:val="18"/>
              </w:rPr>
              <w:t>Meta</w:t>
            </w:r>
            <w:r w:rsidRPr="00132649">
              <w:rPr>
                <w:rFonts w:ascii="Calibri" w:hAnsi="Calibri"/>
                <w:color w:val="auto"/>
                <w:sz w:val="18"/>
                <w:szCs w:val="18"/>
                <w:lang w:val="pt-BR"/>
              </w:rPr>
              <w:t xml:space="preserve"> Atuarial</w:t>
            </w:r>
            <w:bookmarkEnd w:id="10"/>
          </w:p>
        </w:tc>
      </w:tr>
    </w:tbl>
    <w:p w:rsidR="00FA0D86" w:rsidRPr="00563EAB" w:rsidRDefault="00563EAB" w:rsidP="00563EAB">
      <w:pPr>
        <w:spacing w:before="240" w:line="320" w:lineRule="exact"/>
        <w:ind w:left="-567" w:right="-568"/>
        <w:jc w:val="both"/>
        <w:rPr>
          <w:rFonts w:eastAsia="Times New Roman" w:cs="Calibri"/>
          <w:sz w:val="18"/>
          <w:szCs w:val="18"/>
          <w:lang w:eastAsia="pt-BR"/>
        </w:rPr>
      </w:pPr>
      <w:r w:rsidRPr="00563EAB">
        <w:rPr>
          <w:rFonts w:eastAsia="Times New Roman" w:cs="Calibri"/>
          <w:i/>
          <w:sz w:val="18"/>
          <w:szCs w:val="18"/>
          <w:lang w:eastAsia="pt-BR"/>
        </w:rPr>
        <w:t>OS</w:t>
      </w:r>
      <w:r w:rsidR="00FA0D86" w:rsidRPr="00563EAB">
        <w:rPr>
          <w:rFonts w:eastAsia="Times New Roman" w:cs="Calibri"/>
          <w:i/>
          <w:sz w:val="18"/>
          <w:szCs w:val="18"/>
          <w:lang w:eastAsia="pt-BR"/>
        </w:rPr>
        <w:t xml:space="preserve"> recursos financeiros administrados pelo RPPS deverão ser aplicados de forma a buscar no longo prazo um retorno superior ao</w:t>
      </w:r>
      <w:r w:rsidR="00FA0D86" w:rsidRPr="00132649">
        <w:rPr>
          <w:rFonts w:eastAsia="Times New Roman" w:cs="Calibri"/>
          <w:b/>
          <w:noProof/>
          <w:sz w:val="18"/>
          <w:szCs w:val="18"/>
          <w:lang w:eastAsia="pt-BR"/>
        </w:rPr>
        <w:t xml:space="preserve"> INPC, acrescido de uma taxa de juros de 6% a.a.</w:t>
      </w:r>
      <w:r w:rsidR="00FA0D86" w:rsidRPr="00132649">
        <w:rPr>
          <w:rFonts w:eastAsia="Times New Roman" w:cs="Calibri"/>
          <w:sz w:val="18"/>
          <w:szCs w:val="18"/>
          <w:lang w:eastAsia="pt-BR"/>
        </w:rPr>
        <w:t>, observando-se sempre a adequação do perfil de risco dos segmentos de investimento. Além disso, devem ser respeitadas as necessidades de mobilidade de investimentos e de liquidez adequadas ao atendimento dos compromissos atuariais.</w:t>
      </w: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hAnsi="Calibri" w:cs="ArialMT"/>
                <w:color w:val="auto"/>
                <w:sz w:val="18"/>
                <w:szCs w:val="18"/>
              </w:rPr>
              <w:br w:type="page"/>
            </w:r>
            <w:bookmarkStart w:id="11" w:name="_Toc435259870"/>
            <w:r w:rsidRPr="00132649">
              <w:rPr>
                <w:rFonts w:ascii="Calibri" w:hAnsi="Calibri"/>
                <w:color w:val="auto"/>
                <w:sz w:val="18"/>
                <w:szCs w:val="18"/>
              </w:rPr>
              <w:t>Estrutura de Gestão dos Ativos</w:t>
            </w:r>
            <w:bookmarkEnd w:id="11"/>
          </w:p>
        </w:tc>
      </w:tr>
    </w:tbl>
    <w:p w:rsidR="00FA0D86" w:rsidRPr="00132649" w:rsidRDefault="00FA0D86" w:rsidP="00132649">
      <w:pPr>
        <w:autoSpaceDE w:val="0"/>
        <w:autoSpaceDN w:val="0"/>
        <w:adjustRightInd w:val="0"/>
        <w:spacing w:after="0" w:line="240" w:lineRule="auto"/>
        <w:ind w:left="-567" w:right="-568"/>
        <w:rPr>
          <w:rFonts w:cs="Arial-BoldItalicMT"/>
          <w:bCs/>
          <w:iCs/>
          <w:sz w:val="18"/>
          <w:szCs w:val="18"/>
        </w:rPr>
      </w:pPr>
    </w:p>
    <w:p w:rsidR="00FA0D86" w:rsidRPr="00132649"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De acordo com as hipóteses previstas na Resolução CMN nº 3.922/2010, a aplicação dos ativos será realizada por gestão, própria, terceirizada ou </w:t>
      </w:r>
      <w:proofErr w:type="spellStart"/>
      <w:proofErr w:type="gramStart"/>
      <w:r w:rsidRPr="00132649">
        <w:rPr>
          <w:rFonts w:eastAsia="Times New Roman" w:cs="Calibri"/>
          <w:sz w:val="18"/>
          <w:szCs w:val="18"/>
          <w:lang w:eastAsia="pt-BR"/>
        </w:rPr>
        <w:t>mista.</w:t>
      </w:r>
      <w:proofErr w:type="gramEnd"/>
      <w:r w:rsidRPr="00132649">
        <w:rPr>
          <w:rFonts w:eastAsia="Times New Roman" w:cs="Calibri"/>
          <w:sz w:val="18"/>
          <w:szCs w:val="18"/>
          <w:lang w:eastAsia="pt-BR"/>
        </w:rPr>
        <w:t>Para</w:t>
      </w:r>
      <w:proofErr w:type="spellEnd"/>
      <w:r w:rsidRPr="00132649">
        <w:rPr>
          <w:rFonts w:eastAsia="Times New Roman" w:cs="Calibri"/>
          <w:sz w:val="18"/>
          <w:szCs w:val="18"/>
          <w:lang w:eastAsia="pt-BR"/>
        </w:rPr>
        <w:t xml:space="preserve"> a vigência desta Política de Investimentos, a gestão das aplicações dos recursos do </w:t>
      </w:r>
      <w:r w:rsidRPr="00132649">
        <w:rPr>
          <w:rFonts w:eastAsia="Times New Roman" w:cs="Calibri"/>
          <w:noProof/>
          <w:sz w:val="18"/>
          <w:szCs w:val="18"/>
          <w:lang w:eastAsia="pt-BR"/>
        </w:rPr>
        <w:t>INSTITUTO DE PREVIDÊNCIA SOCIAL DOS SERVIDORES MUNICIPAIS DE NOVA ALVORADA DO SUL</w:t>
      </w:r>
      <w:r w:rsidRPr="00132649">
        <w:rPr>
          <w:rFonts w:eastAsia="Times New Roman" w:cs="Calibri"/>
          <w:sz w:val="18"/>
          <w:szCs w:val="18"/>
          <w:lang w:eastAsia="pt-BR"/>
        </w:rPr>
        <w:t xml:space="preserve"> será própria.</w:t>
      </w:r>
    </w:p>
    <w:p w:rsidR="00FA0D86" w:rsidRPr="00132649" w:rsidRDefault="00FA0D86" w:rsidP="00132649">
      <w:pPr>
        <w:spacing w:before="240" w:line="320" w:lineRule="exact"/>
        <w:ind w:left="-567" w:right="-568"/>
        <w:jc w:val="both"/>
        <w:rPr>
          <w:rFonts w:eastAsia="Times New Roman" w:cs="Calibri"/>
          <w:sz w:val="18"/>
          <w:szCs w:val="18"/>
          <w:lang w:eastAsia="pt-BR"/>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12" w:name="_Toc435259871"/>
      <w:r w:rsidRPr="00132649">
        <w:rPr>
          <w:rFonts w:ascii="Calibri" w:hAnsi="Calibri" w:cs="Calibri"/>
          <w:color w:val="auto"/>
          <w:sz w:val="18"/>
          <w:szCs w:val="18"/>
          <w:lang w:eastAsia="pt-BR"/>
        </w:rPr>
        <w:lastRenderedPageBreak/>
        <w:t>Gestão Própria</w:t>
      </w:r>
      <w:bookmarkEnd w:id="12"/>
    </w:p>
    <w:p w:rsidR="00FA0D86" w:rsidRPr="00132649"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decisório, com o objetivo de gerenciar a aplicação de recursos, escolhendo os ativos, delimitando os níveis de riscos, estabelecendo os prazos para as aplicações, sendo obrigatório o Credenciamento de administradores e gestores de fundos de investimentos junto ao RPPS.</w:t>
      </w:r>
      <w:r w:rsidRPr="00132649">
        <w:rPr>
          <w:rFonts w:eastAsia="Times New Roman" w:cs="Calibri"/>
          <w:color w:val="FF0000"/>
          <w:sz w:val="18"/>
          <w:szCs w:val="18"/>
          <w:lang w:eastAsia="pt-BR"/>
        </w:rPr>
        <w:t xml:space="preserve"> (de acordo com a Portaria MPS nº519, 24/08/2011 e Portaria MPS nº440, de 09/10/2013)</w:t>
      </w:r>
      <w:r w:rsidR="00563EAB">
        <w:rPr>
          <w:rFonts w:eastAsia="Times New Roman" w:cs="Calibri"/>
          <w:sz w:val="18"/>
          <w:szCs w:val="18"/>
          <w:lang w:eastAsia="pt-BR"/>
        </w:rPr>
        <w:t xml:space="preserve"> </w:t>
      </w:r>
      <w:r w:rsidRPr="00132649">
        <w:rPr>
          <w:rFonts w:eastAsia="Times New Roman" w:cs="Calibri"/>
          <w:sz w:val="18"/>
          <w:szCs w:val="18"/>
          <w:lang w:eastAsia="pt-BR"/>
        </w:rPr>
        <w:t>O RPPS tem ainda a prerrogativa da contratação de empresa de consultoria, de acordo com os critérios estabelecidos na Resolução CMN nº 3.922/2010, para prestar assessoramento ao Comitê de Investimento, quanto às aplicações de recursos.</w:t>
      </w: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13" w:name="_Toc435259872"/>
      <w:r w:rsidRPr="00132649">
        <w:rPr>
          <w:rFonts w:ascii="Calibri" w:hAnsi="Calibri" w:cs="Calibri"/>
          <w:color w:val="auto"/>
          <w:sz w:val="18"/>
          <w:szCs w:val="18"/>
          <w:lang w:eastAsia="pt-BR"/>
        </w:rPr>
        <w:t>Órgãos de Execução</w:t>
      </w:r>
      <w:bookmarkEnd w:id="13"/>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Compete ao Comitê de Investimentos a elaboração da política de investimento, que deve submetê-la para aprovação ao Conselho, órgão superior competente para definições estratégicas do RPPS. Essa estrutura garante a demonstração da segregação de funções adotadas pelos órgãos de execução, estando em linha com as práticas de mercado para uma boa governança corporativa.</w:t>
      </w:r>
    </w:p>
    <w:p w:rsidR="00FA0D86" w:rsidRPr="00132649" w:rsidRDefault="00FA0D86" w:rsidP="00563EAB">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Esta política de investimentos estabelece as diretrizes a serem tomadas pelo comitê de investimentos na gestão dos recursos, visando atingir e obter o equilíbrio financeiro e atuarial com a solvabilidade do plano.</w:t>
      </w: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hAnsi="Calibri" w:cs="Arial-BoldItalicMT"/>
                <w:bCs w:val="0"/>
                <w:iCs/>
                <w:color w:val="auto"/>
                <w:sz w:val="18"/>
                <w:szCs w:val="18"/>
              </w:rPr>
              <w:br w:type="page"/>
            </w:r>
            <w:r w:rsidRPr="00132649">
              <w:rPr>
                <w:rFonts w:ascii="Calibri" w:hAnsi="Calibri" w:cs="ArialMT"/>
                <w:color w:val="auto"/>
                <w:sz w:val="18"/>
                <w:szCs w:val="18"/>
              </w:rPr>
              <w:br w:type="page"/>
            </w:r>
            <w:bookmarkStart w:id="14" w:name="_Toc435259873"/>
            <w:r w:rsidRPr="00132649">
              <w:rPr>
                <w:rFonts w:ascii="Calibri" w:hAnsi="Calibri"/>
                <w:color w:val="auto"/>
                <w:sz w:val="18"/>
                <w:szCs w:val="18"/>
                <w:lang w:val="pt-BR"/>
              </w:rPr>
              <w:t>Controle de Risco</w:t>
            </w:r>
            <w:bookmarkEnd w:id="14"/>
          </w:p>
        </w:tc>
      </w:tr>
    </w:tbl>
    <w:p w:rsidR="00FA0D86" w:rsidRPr="00132649" w:rsidRDefault="00FA0D86" w:rsidP="00132649">
      <w:pPr>
        <w:autoSpaceDE w:val="0"/>
        <w:autoSpaceDN w:val="0"/>
        <w:adjustRightInd w:val="0"/>
        <w:spacing w:after="0" w:line="240" w:lineRule="auto"/>
        <w:ind w:left="-567" w:right="-568"/>
        <w:rPr>
          <w:rFonts w:cs="Arial-BoldItalicMT"/>
          <w:bCs/>
          <w:iCs/>
          <w:sz w:val="18"/>
          <w:szCs w:val="18"/>
        </w:rPr>
      </w:pP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É relevante mencionar que qualquer aplicação financeira estará sujeita à incidência de fatores de risco que podem afetar adversamente o seu retorno, entre eles:</w:t>
      </w:r>
    </w:p>
    <w:p w:rsidR="00FA0D86" w:rsidRPr="00132649" w:rsidRDefault="00FA0D86" w:rsidP="00132649">
      <w:pPr>
        <w:numPr>
          <w:ilvl w:val="0"/>
          <w:numId w:val="1"/>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b/>
          <w:sz w:val="18"/>
          <w:szCs w:val="18"/>
          <w:lang w:eastAsia="pt-BR"/>
        </w:rPr>
        <w:t>Risco de Mercado</w:t>
      </w:r>
      <w:r w:rsidRPr="00132649">
        <w:rPr>
          <w:rFonts w:eastAsia="Times New Roman" w:cs="Calibri"/>
          <w:sz w:val="18"/>
          <w:szCs w:val="18"/>
          <w:lang w:eastAsia="pt-BR"/>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w:t>
      </w:r>
      <w:proofErr w:type="gramStart"/>
      <w:r w:rsidRPr="00132649">
        <w:rPr>
          <w:rFonts w:eastAsia="Times New Roman" w:cs="Calibri"/>
          <w:sz w:val="18"/>
          <w:szCs w:val="18"/>
          <w:lang w:eastAsia="pt-BR"/>
        </w:rPr>
        <w:t>taxa</w:t>
      </w:r>
      <w:proofErr w:type="gramEnd"/>
      <w:r w:rsidRPr="00132649">
        <w:rPr>
          <w:rFonts w:eastAsia="Times New Roman" w:cs="Calibri"/>
          <w:sz w:val="18"/>
          <w:szCs w:val="18"/>
          <w:lang w:eastAsia="pt-BR"/>
        </w:rPr>
        <w:t xml:space="preserve"> de juros, preços de ações e outros índices. É ligado às oscilações do mercado financeiro.</w:t>
      </w:r>
    </w:p>
    <w:p w:rsidR="00FA0D86" w:rsidRPr="00132649" w:rsidRDefault="00FA0D86" w:rsidP="00132649">
      <w:pPr>
        <w:numPr>
          <w:ilvl w:val="0"/>
          <w:numId w:val="1"/>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b/>
          <w:sz w:val="18"/>
          <w:szCs w:val="18"/>
          <w:lang w:eastAsia="pt-BR"/>
        </w:rPr>
        <w:t>Risco de Crédito</w:t>
      </w:r>
      <w:r w:rsidRPr="00132649">
        <w:rPr>
          <w:rFonts w:eastAsia="Times New Roman" w:cs="Calibri"/>
          <w:sz w:val="18"/>
          <w:szCs w:val="18"/>
          <w:lang w:eastAsia="pt-BR"/>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FA0D86" w:rsidRPr="00132649" w:rsidRDefault="00FA0D86" w:rsidP="00132649">
      <w:pPr>
        <w:numPr>
          <w:ilvl w:val="0"/>
          <w:numId w:val="1"/>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b/>
          <w:sz w:val="18"/>
          <w:szCs w:val="18"/>
          <w:lang w:eastAsia="pt-BR"/>
        </w:rPr>
        <w:t>Risco de Liquidez</w:t>
      </w:r>
      <w:r w:rsidRPr="00132649">
        <w:rPr>
          <w:rFonts w:eastAsia="Times New Roman" w:cs="Calibri"/>
          <w:sz w:val="18"/>
          <w:szCs w:val="18"/>
          <w:lang w:eastAsia="pt-BR"/>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FA0D86" w:rsidRPr="00132649" w:rsidRDefault="00FA0D86" w:rsidP="00132649">
      <w:pPr>
        <w:pStyle w:val="PargrafodaLista"/>
        <w:autoSpaceDE w:val="0"/>
        <w:autoSpaceDN w:val="0"/>
        <w:adjustRightInd w:val="0"/>
        <w:spacing w:after="120" w:line="288" w:lineRule="auto"/>
        <w:ind w:left="-567" w:right="-568"/>
        <w:contextualSpacing w:val="0"/>
        <w:jc w:val="both"/>
        <w:rPr>
          <w:rFonts w:cs="ArialMT"/>
          <w:sz w:val="18"/>
          <w:szCs w:val="18"/>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15" w:name="_Toc435259874"/>
      <w:r w:rsidRPr="00132649">
        <w:rPr>
          <w:rFonts w:ascii="Calibri" w:hAnsi="Calibri" w:cs="Calibri"/>
          <w:color w:val="auto"/>
          <w:sz w:val="18"/>
          <w:szCs w:val="18"/>
          <w:lang w:eastAsia="pt-BR"/>
        </w:rPr>
        <w:lastRenderedPageBreak/>
        <w:t>Controle do Risco de Mercado</w:t>
      </w:r>
      <w:bookmarkEnd w:id="15"/>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O RPPS adota o </w:t>
      </w:r>
      <w:proofErr w:type="spellStart"/>
      <w:proofErr w:type="gramStart"/>
      <w:r w:rsidRPr="00132649">
        <w:rPr>
          <w:rFonts w:eastAsia="Times New Roman" w:cs="Calibri"/>
          <w:b/>
          <w:sz w:val="18"/>
          <w:szCs w:val="18"/>
          <w:lang w:eastAsia="pt-BR"/>
        </w:rPr>
        <w:t>VaR</w:t>
      </w:r>
      <w:proofErr w:type="spellEnd"/>
      <w:proofErr w:type="gramEnd"/>
      <w:r w:rsidRPr="00132649">
        <w:rPr>
          <w:rFonts w:eastAsia="Times New Roman" w:cs="Calibri"/>
          <w:b/>
          <w:sz w:val="18"/>
          <w:szCs w:val="18"/>
          <w:lang w:eastAsia="pt-BR"/>
        </w:rPr>
        <w:t xml:space="preserve"> - </w:t>
      </w:r>
      <w:proofErr w:type="spellStart"/>
      <w:r w:rsidRPr="00132649">
        <w:rPr>
          <w:rFonts w:eastAsia="Times New Roman" w:cs="Calibri"/>
          <w:b/>
          <w:sz w:val="18"/>
          <w:szCs w:val="18"/>
          <w:lang w:eastAsia="pt-BR"/>
        </w:rPr>
        <w:t>Value-at-Risk</w:t>
      </w:r>
      <w:proofErr w:type="spellEnd"/>
      <w:r w:rsidRPr="00132649">
        <w:rPr>
          <w:rFonts w:eastAsia="Times New Roman" w:cs="Calibri"/>
          <w:b/>
          <w:sz w:val="18"/>
          <w:szCs w:val="18"/>
          <w:lang w:eastAsia="pt-BR"/>
        </w:rPr>
        <w:t xml:space="preserve"> </w:t>
      </w:r>
      <w:r w:rsidRPr="00132649">
        <w:rPr>
          <w:rFonts w:eastAsia="Times New Roman" w:cs="Calibri"/>
          <w:sz w:val="18"/>
          <w:szCs w:val="18"/>
          <w:lang w:eastAsia="pt-BR"/>
        </w:rPr>
        <w:t>para controle do risco de mercado, utilizando os seguintes parâmetros para o cálculo do mesmo:</w:t>
      </w:r>
    </w:p>
    <w:p w:rsidR="00FA0D86" w:rsidRPr="00132649" w:rsidRDefault="00FA0D86" w:rsidP="00132649">
      <w:pPr>
        <w:numPr>
          <w:ilvl w:val="0"/>
          <w:numId w:val="2"/>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Modelo não paramétrico;</w:t>
      </w:r>
    </w:p>
    <w:p w:rsidR="00FA0D86" w:rsidRPr="00132649" w:rsidRDefault="00FA0D86" w:rsidP="00132649">
      <w:pPr>
        <w:numPr>
          <w:ilvl w:val="0"/>
          <w:numId w:val="2"/>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Intervalo de confiança de 95% (noventa e cinco por cento);</w:t>
      </w:r>
    </w:p>
    <w:p w:rsidR="00FA0D86" w:rsidRPr="00132649" w:rsidRDefault="00FA0D86" w:rsidP="00132649">
      <w:pPr>
        <w:numPr>
          <w:ilvl w:val="0"/>
          <w:numId w:val="2"/>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Horizonte temporal de 21 dias úteis.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FA0D86" w:rsidRPr="00132649" w:rsidRDefault="00FA0D86" w:rsidP="00132649">
      <w:pPr>
        <w:numPr>
          <w:ilvl w:val="0"/>
          <w:numId w:val="2"/>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Segmento de Renda Fixa: 3,5% (três e meio por cento) do valor alocado neste segmento.</w:t>
      </w:r>
    </w:p>
    <w:p w:rsidR="00FA0D86" w:rsidRPr="00132649" w:rsidRDefault="00FA0D86" w:rsidP="00132649">
      <w:pPr>
        <w:numPr>
          <w:ilvl w:val="0"/>
          <w:numId w:val="2"/>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Segmento de Renda Variável: 15% (quinze por cento) do valor alocado neste segmento.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Como instrumento adicional de controle, o RPPS monitora a rentabilidade do fundo em janelas temporais (mês, três meses, seis meses, doze meses e vinte e quatro meses), verificando o alinhamento com o “benchmark” estabelecido na política de investimentos do fundo </w:t>
      </w:r>
      <w:r w:rsidRPr="00132649">
        <w:rPr>
          <w:rFonts w:eastAsia="Times New Roman" w:cs="Calibri"/>
          <w:color w:val="FF0000"/>
          <w:sz w:val="18"/>
          <w:szCs w:val="18"/>
          <w:lang w:eastAsia="pt-BR"/>
        </w:rPr>
        <w:t>(</w:t>
      </w:r>
      <w:r w:rsidRPr="00132649">
        <w:rPr>
          <w:rFonts w:eastAsia="Times New Roman" w:cs="Calibri"/>
          <w:b/>
          <w:color w:val="FF0000"/>
          <w:sz w:val="18"/>
          <w:szCs w:val="18"/>
          <w:lang w:eastAsia="pt-BR"/>
        </w:rPr>
        <w:t>INPC + 6% a.a.</w:t>
      </w:r>
      <w:r w:rsidRPr="00132649">
        <w:rPr>
          <w:rFonts w:eastAsia="Times New Roman" w:cs="Calibri"/>
          <w:color w:val="FF0000"/>
          <w:sz w:val="18"/>
          <w:szCs w:val="18"/>
          <w:lang w:eastAsia="pt-BR"/>
        </w:rPr>
        <w:t>)</w:t>
      </w:r>
      <w:r w:rsidRPr="00132649">
        <w:rPr>
          <w:rFonts w:eastAsia="Times New Roman" w:cs="Calibri"/>
          <w:sz w:val="18"/>
          <w:szCs w:val="18"/>
          <w:lang w:eastAsia="pt-BR"/>
        </w:rPr>
        <w:t>. Desvios significativos deverão ser avaliados pelos membros do comitê de investimentos do RPPS, que decidirá pela manutenção, ou resgate, do investimento.</w:t>
      </w:r>
    </w:p>
    <w:p w:rsidR="00FA0D86" w:rsidRPr="00132649" w:rsidRDefault="00FA0D86" w:rsidP="00132649">
      <w:pPr>
        <w:spacing w:before="240" w:line="320" w:lineRule="exact"/>
        <w:ind w:left="-567" w:right="-568"/>
        <w:jc w:val="both"/>
        <w:rPr>
          <w:rFonts w:eastAsia="Times New Roman" w:cs="Calibri"/>
          <w:sz w:val="18"/>
          <w:szCs w:val="18"/>
          <w:lang w:eastAsia="pt-BR"/>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16" w:name="_Toc435259875"/>
      <w:r w:rsidRPr="00132649">
        <w:rPr>
          <w:rFonts w:ascii="Calibri" w:hAnsi="Calibri" w:cs="Calibri"/>
          <w:color w:val="auto"/>
          <w:sz w:val="18"/>
          <w:szCs w:val="18"/>
          <w:lang w:eastAsia="pt-BR"/>
        </w:rPr>
        <w:t>Controle do Risco de Crédito</w:t>
      </w:r>
      <w:bookmarkEnd w:id="16"/>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Na hipótese de aplicação de recursos financeiros do RPPS, em Fundos de Investimentos em Direitos Creditórios (FIDC) e Fundos de Investimentos em Cotas de Fundos de Investimentos em Direitos Creditórios (FICFIDC) serão considerados como de baixo risco os que estiverem de acordo com a tabela abaixo:</w:t>
      </w:r>
    </w:p>
    <w:p w:rsidR="00FA0D86" w:rsidRPr="00132649" w:rsidRDefault="00FA0D86" w:rsidP="00132649">
      <w:pPr>
        <w:spacing w:before="240" w:line="320" w:lineRule="exact"/>
        <w:ind w:left="-567" w:right="-568"/>
        <w:jc w:val="both"/>
        <w:rPr>
          <w:rFonts w:eastAsia="Times New Roman" w:cs="Calibri"/>
          <w:sz w:val="18"/>
          <w:szCs w:val="18"/>
          <w:lang w:eastAsia="pt-BR"/>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3175"/>
        <w:gridCol w:w="3426"/>
      </w:tblGrid>
      <w:tr w:rsidR="00FA0D86" w:rsidRPr="00132649" w:rsidTr="00766925">
        <w:trPr>
          <w:jc w:val="center"/>
        </w:trPr>
        <w:tc>
          <w:tcPr>
            <w:tcW w:w="3175" w:type="dxa"/>
            <w:tcBorders>
              <w:top w:val="single" w:sz="8" w:space="0" w:color="7F7F7F"/>
              <w:bottom w:val="single" w:sz="8" w:space="0" w:color="7F7F7F"/>
            </w:tcBorders>
            <w:shd w:val="clear" w:color="auto" w:fill="auto"/>
            <w:vAlign w:val="center"/>
            <w:hideMark/>
          </w:tcPr>
          <w:p w:rsidR="00FA0D86" w:rsidRPr="00132649" w:rsidRDefault="00FA0D86" w:rsidP="00132649">
            <w:pPr>
              <w:spacing w:after="0" w:line="225" w:lineRule="atLeast"/>
              <w:ind w:left="-567" w:right="-568"/>
              <w:jc w:val="center"/>
              <w:rPr>
                <w:rFonts w:eastAsia="Times New Roman" w:cs="Arial"/>
                <w:b/>
                <w:sz w:val="18"/>
                <w:szCs w:val="18"/>
                <w:lang w:eastAsia="pt-BR"/>
              </w:rPr>
            </w:pPr>
            <w:r w:rsidRPr="00132649">
              <w:rPr>
                <w:rFonts w:eastAsia="Times New Roman" w:cs="Arial"/>
                <w:b/>
                <w:sz w:val="18"/>
                <w:szCs w:val="18"/>
                <w:lang w:eastAsia="pt-BR"/>
              </w:rPr>
              <w:t>Agência Classificadora</w:t>
            </w:r>
          </w:p>
          <w:p w:rsidR="00FA0D86" w:rsidRPr="00132649" w:rsidRDefault="00FA0D86" w:rsidP="00132649">
            <w:pPr>
              <w:spacing w:after="0" w:line="225" w:lineRule="atLeast"/>
              <w:ind w:left="-567" w:right="-568"/>
              <w:jc w:val="center"/>
              <w:rPr>
                <w:rFonts w:eastAsia="Times New Roman"/>
                <w:b/>
                <w:bCs/>
                <w:sz w:val="18"/>
                <w:szCs w:val="18"/>
                <w:lang w:eastAsia="pt-BR"/>
              </w:rPr>
            </w:pPr>
            <w:proofErr w:type="gramStart"/>
            <w:r w:rsidRPr="00132649">
              <w:rPr>
                <w:rFonts w:eastAsia="Times New Roman" w:cs="Arial"/>
                <w:b/>
                <w:sz w:val="18"/>
                <w:szCs w:val="18"/>
                <w:lang w:eastAsia="pt-BR"/>
              </w:rPr>
              <w:t>de</w:t>
            </w:r>
            <w:proofErr w:type="gramEnd"/>
            <w:r w:rsidRPr="00132649">
              <w:rPr>
                <w:rFonts w:eastAsia="Times New Roman" w:cs="Arial"/>
                <w:b/>
                <w:sz w:val="18"/>
                <w:szCs w:val="18"/>
                <w:lang w:eastAsia="pt-BR"/>
              </w:rPr>
              <w:t xml:space="preserve"> Risco</w:t>
            </w:r>
          </w:p>
        </w:tc>
        <w:tc>
          <w:tcPr>
            <w:tcW w:w="3426" w:type="dxa"/>
            <w:tcBorders>
              <w:top w:val="single" w:sz="8" w:space="0" w:color="7F7F7F"/>
              <w:bottom w:val="single" w:sz="8" w:space="0" w:color="7F7F7F"/>
            </w:tcBorders>
            <w:shd w:val="clear" w:color="auto" w:fill="auto"/>
            <w:vAlign w:val="center"/>
            <w:hideMark/>
          </w:tcPr>
          <w:p w:rsidR="00FA0D86" w:rsidRPr="00132649" w:rsidRDefault="00FA0D86" w:rsidP="00132649">
            <w:pPr>
              <w:spacing w:after="0" w:line="225" w:lineRule="atLeast"/>
              <w:ind w:left="-567" w:right="-568"/>
              <w:jc w:val="center"/>
              <w:rPr>
                <w:rFonts w:eastAsia="Times New Roman"/>
                <w:b/>
                <w:bCs/>
                <w:sz w:val="18"/>
                <w:szCs w:val="18"/>
                <w:lang w:eastAsia="pt-BR"/>
              </w:rPr>
            </w:pPr>
            <w:r w:rsidRPr="00132649">
              <w:rPr>
                <w:rFonts w:eastAsia="Times New Roman" w:cs="Arial"/>
                <w:b/>
                <w:sz w:val="18"/>
                <w:szCs w:val="18"/>
                <w:lang w:eastAsia="pt-BR"/>
              </w:rPr>
              <w:t>Rating Mínimo</w:t>
            </w:r>
          </w:p>
        </w:tc>
      </w:tr>
      <w:tr w:rsidR="00FA0D86" w:rsidRPr="00132649" w:rsidTr="00766925">
        <w:trPr>
          <w:trHeight w:val="454"/>
          <w:jc w:val="center"/>
        </w:trPr>
        <w:tc>
          <w:tcPr>
            <w:tcW w:w="3175" w:type="dxa"/>
            <w:tcBorders>
              <w:top w:val="single" w:sz="8" w:space="0" w:color="7F7F7F"/>
            </w:tcBorders>
            <w:shd w:val="clear" w:color="auto" w:fill="D9D9D9"/>
            <w:vAlign w:val="center"/>
            <w:hideMark/>
          </w:tcPr>
          <w:p w:rsidR="00FA0D86" w:rsidRPr="00132649" w:rsidRDefault="00FA0D86" w:rsidP="00132649">
            <w:pPr>
              <w:spacing w:after="0" w:line="225" w:lineRule="atLeast"/>
              <w:ind w:left="-567" w:right="-568"/>
              <w:rPr>
                <w:rFonts w:eastAsia="Times New Roman"/>
                <w:b/>
                <w:bCs/>
                <w:sz w:val="18"/>
                <w:szCs w:val="18"/>
                <w:lang w:eastAsia="pt-BR"/>
              </w:rPr>
            </w:pPr>
            <w:r w:rsidRPr="00132649">
              <w:rPr>
                <w:rFonts w:eastAsia="Times New Roman" w:cs="Arial"/>
                <w:b/>
                <w:bCs/>
                <w:sz w:val="18"/>
                <w:szCs w:val="18"/>
                <w:lang w:eastAsia="pt-BR"/>
              </w:rPr>
              <w:t xml:space="preserve">Standard &amp; </w:t>
            </w:r>
            <w:proofErr w:type="spellStart"/>
            <w:r w:rsidRPr="00132649">
              <w:rPr>
                <w:rFonts w:eastAsia="Times New Roman" w:cs="Arial"/>
                <w:b/>
                <w:bCs/>
                <w:sz w:val="18"/>
                <w:szCs w:val="18"/>
                <w:lang w:eastAsia="pt-BR"/>
              </w:rPr>
              <w:t>Poors</w:t>
            </w:r>
            <w:proofErr w:type="spellEnd"/>
          </w:p>
        </w:tc>
        <w:tc>
          <w:tcPr>
            <w:tcW w:w="3426" w:type="dxa"/>
            <w:tcBorders>
              <w:top w:val="single" w:sz="8" w:space="0" w:color="7F7F7F"/>
              <w:left w:val="nil"/>
              <w:right w:val="nil"/>
            </w:tcBorders>
            <w:shd w:val="clear" w:color="auto" w:fill="D9D9D9"/>
            <w:vAlign w:val="center"/>
            <w:hideMark/>
          </w:tcPr>
          <w:p w:rsidR="00FA0D86" w:rsidRPr="00132649" w:rsidRDefault="00FA0D86" w:rsidP="00132649">
            <w:pPr>
              <w:spacing w:after="0" w:line="225" w:lineRule="atLeast"/>
              <w:ind w:left="-567" w:right="-568"/>
              <w:jc w:val="center"/>
              <w:rPr>
                <w:rFonts w:eastAsia="Times New Roman"/>
                <w:sz w:val="18"/>
                <w:szCs w:val="18"/>
                <w:lang w:eastAsia="pt-BR"/>
              </w:rPr>
            </w:pPr>
            <w:r w:rsidRPr="00132649">
              <w:rPr>
                <w:rFonts w:eastAsia="Times New Roman" w:cs="Arial"/>
                <w:b/>
                <w:bCs/>
                <w:sz w:val="18"/>
                <w:szCs w:val="18"/>
                <w:lang w:eastAsia="pt-BR"/>
              </w:rPr>
              <w:t>BBB+ (perspectiva estável)</w:t>
            </w:r>
          </w:p>
        </w:tc>
      </w:tr>
      <w:tr w:rsidR="00FA0D86" w:rsidRPr="00132649" w:rsidTr="00766925">
        <w:trPr>
          <w:trHeight w:val="454"/>
          <w:jc w:val="center"/>
        </w:trPr>
        <w:tc>
          <w:tcPr>
            <w:tcW w:w="3175" w:type="dxa"/>
            <w:tcBorders>
              <w:bottom w:val="nil"/>
            </w:tcBorders>
            <w:shd w:val="clear" w:color="auto" w:fill="auto"/>
            <w:vAlign w:val="center"/>
          </w:tcPr>
          <w:p w:rsidR="00FA0D86" w:rsidRPr="00132649" w:rsidRDefault="00FA0D86" w:rsidP="00132649">
            <w:pPr>
              <w:spacing w:after="0" w:line="225" w:lineRule="atLeast"/>
              <w:ind w:left="-567" w:right="-568"/>
              <w:rPr>
                <w:rFonts w:eastAsia="Times New Roman" w:cs="Arial"/>
                <w:b/>
                <w:bCs/>
                <w:sz w:val="18"/>
                <w:szCs w:val="18"/>
                <w:lang w:eastAsia="pt-BR"/>
              </w:rPr>
            </w:pPr>
            <w:r w:rsidRPr="00132649">
              <w:rPr>
                <w:rFonts w:eastAsia="Times New Roman" w:cs="Arial"/>
                <w:b/>
                <w:bCs/>
                <w:sz w:val="18"/>
                <w:szCs w:val="18"/>
                <w:lang w:eastAsia="pt-BR"/>
              </w:rPr>
              <w:t>Moody’s</w:t>
            </w:r>
          </w:p>
        </w:tc>
        <w:tc>
          <w:tcPr>
            <w:tcW w:w="3426" w:type="dxa"/>
            <w:tcBorders>
              <w:bottom w:val="nil"/>
            </w:tcBorders>
            <w:shd w:val="clear" w:color="auto" w:fill="auto"/>
            <w:vAlign w:val="center"/>
          </w:tcPr>
          <w:p w:rsidR="00FA0D86" w:rsidRPr="00132649" w:rsidRDefault="00FA0D86" w:rsidP="00132649">
            <w:pPr>
              <w:spacing w:after="0" w:line="225" w:lineRule="atLeast"/>
              <w:ind w:left="-567" w:right="-568"/>
              <w:jc w:val="center"/>
              <w:rPr>
                <w:rFonts w:eastAsia="Times New Roman" w:cs="Arial"/>
                <w:b/>
                <w:bCs/>
                <w:sz w:val="18"/>
                <w:szCs w:val="18"/>
                <w:lang w:eastAsia="pt-BR"/>
              </w:rPr>
            </w:pPr>
            <w:r w:rsidRPr="00132649">
              <w:rPr>
                <w:rFonts w:eastAsia="Times New Roman" w:cs="Arial"/>
                <w:b/>
                <w:bCs/>
                <w:sz w:val="18"/>
                <w:szCs w:val="18"/>
                <w:lang w:eastAsia="pt-BR"/>
              </w:rPr>
              <w:t>Baa1 (perspectiva estável)</w:t>
            </w:r>
          </w:p>
        </w:tc>
      </w:tr>
      <w:tr w:rsidR="00FA0D86" w:rsidRPr="00132649" w:rsidTr="00766925">
        <w:trPr>
          <w:trHeight w:val="454"/>
          <w:jc w:val="center"/>
        </w:trPr>
        <w:tc>
          <w:tcPr>
            <w:tcW w:w="3175" w:type="dxa"/>
            <w:tcBorders>
              <w:bottom w:val="nil"/>
            </w:tcBorders>
            <w:shd w:val="clear" w:color="auto" w:fill="D9D9D9"/>
            <w:vAlign w:val="center"/>
          </w:tcPr>
          <w:p w:rsidR="00FA0D86" w:rsidRPr="00132649" w:rsidRDefault="00FA0D86" w:rsidP="00132649">
            <w:pPr>
              <w:spacing w:after="0" w:line="225" w:lineRule="atLeast"/>
              <w:ind w:left="-567" w:right="-568"/>
              <w:rPr>
                <w:rFonts w:eastAsia="Times New Roman" w:cs="Arial"/>
                <w:b/>
                <w:bCs/>
                <w:sz w:val="18"/>
                <w:szCs w:val="18"/>
                <w:lang w:eastAsia="pt-BR"/>
              </w:rPr>
            </w:pPr>
            <w:r w:rsidRPr="00132649">
              <w:rPr>
                <w:rFonts w:eastAsia="Times New Roman" w:cs="Arial"/>
                <w:b/>
                <w:bCs/>
                <w:sz w:val="18"/>
                <w:szCs w:val="18"/>
                <w:lang w:eastAsia="pt-BR"/>
              </w:rPr>
              <w:t>Fitch Rating</w:t>
            </w:r>
          </w:p>
        </w:tc>
        <w:tc>
          <w:tcPr>
            <w:tcW w:w="3426" w:type="dxa"/>
            <w:tcBorders>
              <w:bottom w:val="nil"/>
            </w:tcBorders>
            <w:shd w:val="clear" w:color="auto" w:fill="D9D9D9"/>
            <w:vAlign w:val="center"/>
          </w:tcPr>
          <w:p w:rsidR="00FA0D86" w:rsidRPr="00132649" w:rsidRDefault="00FA0D86" w:rsidP="00132649">
            <w:pPr>
              <w:spacing w:after="0" w:line="225" w:lineRule="atLeast"/>
              <w:ind w:left="-567" w:right="-568"/>
              <w:jc w:val="center"/>
              <w:rPr>
                <w:rFonts w:eastAsia="Times New Roman" w:cs="Arial"/>
                <w:b/>
                <w:bCs/>
                <w:sz w:val="18"/>
                <w:szCs w:val="18"/>
                <w:lang w:eastAsia="pt-BR"/>
              </w:rPr>
            </w:pPr>
            <w:r w:rsidRPr="00132649">
              <w:rPr>
                <w:rFonts w:eastAsia="Times New Roman" w:cs="Arial"/>
                <w:b/>
                <w:bCs/>
                <w:sz w:val="18"/>
                <w:szCs w:val="18"/>
                <w:lang w:eastAsia="pt-BR"/>
              </w:rPr>
              <w:t>BBB+ (perspectiva estável)</w:t>
            </w:r>
          </w:p>
        </w:tc>
      </w:tr>
      <w:tr w:rsidR="00FA0D86" w:rsidRPr="00132649" w:rsidTr="00766925">
        <w:trPr>
          <w:trHeight w:val="454"/>
          <w:jc w:val="center"/>
        </w:trPr>
        <w:tc>
          <w:tcPr>
            <w:tcW w:w="3175" w:type="dxa"/>
            <w:tcBorders>
              <w:bottom w:val="nil"/>
            </w:tcBorders>
            <w:shd w:val="clear" w:color="auto" w:fill="auto"/>
            <w:vAlign w:val="center"/>
          </w:tcPr>
          <w:p w:rsidR="00FA0D86" w:rsidRPr="00132649" w:rsidRDefault="00FA0D86" w:rsidP="00132649">
            <w:pPr>
              <w:spacing w:after="0" w:line="225" w:lineRule="atLeast"/>
              <w:ind w:left="-567" w:right="-568"/>
              <w:rPr>
                <w:rFonts w:eastAsia="Times New Roman" w:cs="Arial"/>
                <w:b/>
                <w:bCs/>
                <w:sz w:val="18"/>
                <w:szCs w:val="18"/>
                <w:lang w:eastAsia="pt-BR"/>
              </w:rPr>
            </w:pPr>
            <w:r w:rsidRPr="00132649">
              <w:rPr>
                <w:rFonts w:eastAsia="Times New Roman" w:cs="Arial"/>
                <w:b/>
                <w:bCs/>
                <w:sz w:val="18"/>
                <w:szCs w:val="18"/>
                <w:lang w:eastAsia="pt-BR"/>
              </w:rPr>
              <w:t>Austin Rating</w:t>
            </w:r>
          </w:p>
        </w:tc>
        <w:tc>
          <w:tcPr>
            <w:tcW w:w="3426" w:type="dxa"/>
            <w:tcBorders>
              <w:bottom w:val="nil"/>
            </w:tcBorders>
            <w:shd w:val="clear" w:color="auto" w:fill="auto"/>
            <w:vAlign w:val="center"/>
          </w:tcPr>
          <w:p w:rsidR="00FA0D86" w:rsidRPr="00132649" w:rsidRDefault="00FA0D86" w:rsidP="00132649">
            <w:pPr>
              <w:spacing w:after="0" w:line="225" w:lineRule="atLeast"/>
              <w:ind w:left="-567" w:right="-568"/>
              <w:jc w:val="center"/>
              <w:rPr>
                <w:rFonts w:eastAsia="Times New Roman" w:cs="Arial"/>
                <w:b/>
                <w:bCs/>
                <w:sz w:val="18"/>
                <w:szCs w:val="18"/>
                <w:lang w:eastAsia="pt-BR"/>
              </w:rPr>
            </w:pPr>
            <w:r w:rsidRPr="00132649">
              <w:rPr>
                <w:rFonts w:eastAsia="Times New Roman" w:cs="Arial"/>
                <w:b/>
                <w:bCs/>
                <w:sz w:val="18"/>
                <w:szCs w:val="18"/>
                <w:lang w:eastAsia="pt-BR"/>
              </w:rPr>
              <w:t>A (perspectiva estável)</w:t>
            </w:r>
          </w:p>
        </w:tc>
      </w:tr>
      <w:tr w:rsidR="00FA0D86" w:rsidRPr="00132649" w:rsidTr="00766925">
        <w:trPr>
          <w:trHeight w:val="454"/>
          <w:jc w:val="center"/>
        </w:trPr>
        <w:tc>
          <w:tcPr>
            <w:tcW w:w="3175" w:type="dxa"/>
            <w:tcBorders>
              <w:bottom w:val="nil"/>
            </w:tcBorders>
            <w:shd w:val="clear" w:color="auto" w:fill="D9D9D9"/>
            <w:vAlign w:val="center"/>
          </w:tcPr>
          <w:p w:rsidR="00FA0D86" w:rsidRPr="00132649" w:rsidRDefault="00FA0D86" w:rsidP="00132649">
            <w:pPr>
              <w:spacing w:after="0" w:line="225" w:lineRule="atLeast"/>
              <w:ind w:left="-567" w:right="-568"/>
              <w:rPr>
                <w:rFonts w:eastAsia="Times New Roman" w:cs="Arial"/>
                <w:b/>
                <w:bCs/>
                <w:sz w:val="18"/>
                <w:szCs w:val="18"/>
                <w:lang w:eastAsia="pt-BR"/>
              </w:rPr>
            </w:pPr>
            <w:r w:rsidRPr="00132649">
              <w:rPr>
                <w:rFonts w:eastAsia="Times New Roman" w:cs="Arial"/>
                <w:b/>
                <w:bCs/>
                <w:sz w:val="18"/>
                <w:szCs w:val="18"/>
                <w:lang w:eastAsia="pt-BR"/>
              </w:rPr>
              <w:t>SR Rating</w:t>
            </w:r>
          </w:p>
        </w:tc>
        <w:tc>
          <w:tcPr>
            <w:tcW w:w="3426" w:type="dxa"/>
            <w:tcBorders>
              <w:bottom w:val="nil"/>
            </w:tcBorders>
            <w:shd w:val="clear" w:color="auto" w:fill="D9D9D9"/>
            <w:vAlign w:val="center"/>
          </w:tcPr>
          <w:p w:rsidR="00FA0D86" w:rsidRPr="00132649" w:rsidRDefault="00FA0D86" w:rsidP="00132649">
            <w:pPr>
              <w:spacing w:after="0" w:line="225" w:lineRule="atLeast"/>
              <w:ind w:left="-567" w:right="-568"/>
              <w:jc w:val="center"/>
              <w:rPr>
                <w:rFonts w:eastAsia="Times New Roman" w:cs="Arial"/>
                <w:b/>
                <w:bCs/>
                <w:sz w:val="18"/>
                <w:szCs w:val="18"/>
                <w:lang w:eastAsia="pt-BR"/>
              </w:rPr>
            </w:pPr>
            <w:r w:rsidRPr="00132649">
              <w:rPr>
                <w:rFonts w:eastAsia="Times New Roman" w:cs="Arial"/>
                <w:b/>
                <w:bCs/>
                <w:sz w:val="18"/>
                <w:szCs w:val="18"/>
                <w:lang w:eastAsia="pt-BR"/>
              </w:rPr>
              <w:t>A (perspectiva estável)</w:t>
            </w:r>
          </w:p>
        </w:tc>
      </w:tr>
      <w:tr w:rsidR="00FA0D86" w:rsidRPr="00132649" w:rsidTr="00766925">
        <w:trPr>
          <w:trHeight w:val="454"/>
          <w:jc w:val="center"/>
        </w:trPr>
        <w:tc>
          <w:tcPr>
            <w:tcW w:w="3175" w:type="dxa"/>
            <w:tcBorders>
              <w:bottom w:val="nil"/>
            </w:tcBorders>
            <w:shd w:val="clear" w:color="auto" w:fill="auto"/>
            <w:vAlign w:val="center"/>
          </w:tcPr>
          <w:p w:rsidR="00FA0D86" w:rsidRPr="00132649" w:rsidRDefault="00FA0D86" w:rsidP="00132649">
            <w:pPr>
              <w:spacing w:after="0" w:line="225" w:lineRule="atLeast"/>
              <w:ind w:left="-567" w:right="-568"/>
              <w:rPr>
                <w:rFonts w:eastAsia="Times New Roman"/>
                <w:b/>
                <w:bCs/>
                <w:sz w:val="18"/>
                <w:szCs w:val="18"/>
                <w:lang w:eastAsia="pt-BR"/>
              </w:rPr>
            </w:pPr>
            <w:r w:rsidRPr="00132649">
              <w:rPr>
                <w:rFonts w:eastAsia="Times New Roman"/>
                <w:b/>
                <w:bCs/>
                <w:sz w:val="18"/>
                <w:szCs w:val="18"/>
                <w:lang w:eastAsia="pt-BR"/>
              </w:rPr>
              <w:t>LF Rating</w:t>
            </w:r>
          </w:p>
        </w:tc>
        <w:tc>
          <w:tcPr>
            <w:tcW w:w="3426" w:type="dxa"/>
            <w:tcBorders>
              <w:bottom w:val="nil"/>
            </w:tcBorders>
            <w:shd w:val="clear" w:color="auto" w:fill="auto"/>
            <w:vAlign w:val="center"/>
          </w:tcPr>
          <w:p w:rsidR="00FA0D86" w:rsidRPr="00132649" w:rsidRDefault="00FA0D86" w:rsidP="00132649">
            <w:pPr>
              <w:spacing w:after="0" w:line="225" w:lineRule="atLeast"/>
              <w:ind w:left="-567" w:right="-568"/>
              <w:jc w:val="center"/>
              <w:rPr>
                <w:rFonts w:eastAsia="Times New Roman"/>
                <w:sz w:val="18"/>
                <w:szCs w:val="18"/>
                <w:lang w:eastAsia="pt-BR"/>
              </w:rPr>
            </w:pPr>
            <w:r w:rsidRPr="00132649">
              <w:rPr>
                <w:rFonts w:eastAsia="Times New Roman" w:cs="Arial"/>
                <w:b/>
                <w:bCs/>
                <w:sz w:val="18"/>
                <w:szCs w:val="18"/>
                <w:lang w:eastAsia="pt-BR"/>
              </w:rPr>
              <w:t>A (perspectiva estável)</w:t>
            </w:r>
          </w:p>
        </w:tc>
      </w:tr>
      <w:tr w:rsidR="00FA0D86" w:rsidRPr="00132649" w:rsidTr="00766925">
        <w:trPr>
          <w:trHeight w:val="454"/>
          <w:jc w:val="center"/>
        </w:trPr>
        <w:tc>
          <w:tcPr>
            <w:tcW w:w="3175" w:type="dxa"/>
            <w:tcBorders>
              <w:top w:val="nil"/>
              <w:bottom w:val="single" w:sz="8" w:space="0" w:color="7F7F7F"/>
            </w:tcBorders>
            <w:shd w:val="clear" w:color="auto" w:fill="D9D9D9"/>
            <w:vAlign w:val="center"/>
          </w:tcPr>
          <w:p w:rsidR="00FA0D86" w:rsidRPr="00132649" w:rsidRDefault="00FA0D86" w:rsidP="00132649">
            <w:pPr>
              <w:spacing w:after="0" w:line="225" w:lineRule="atLeast"/>
              <w:ind w:left="-567" w:right="-568"/>
              <w:rPr>
                <w:rFonts w:eastAsia="Times New Roman"/>
                <w:b/>
                <w:bCs/>
                <w:sz w:val="18"/>
                <w:szCs w:val="18"/>
                <w:lang w:eastAsia="pt-BR"/>
              </w:rPr>
            </w:pPr>
            <w:proofErr w:type="spellStart"/>
            <w:r w:rsidRPr="00132649">
              <w:rPr>
                <w:rFonts w:eastAsia="Times New Roman"/>
                <w:b/>
                <w:bCs/>
                <w:sz w:val="18"/>
                <w:szCs w:val="18"/>
                <w:lang w:eastAsia="pt-BR"/>
              </w:rPr>
              <w:t>Liberum</w:t>
            </w:r>
            <w:proofErr w:type="spellEnd"/>
            <w:r w:rsidRPr="00132649">
              <w:rPr>
                <w:rFonts w:eastAsia="Times New Roman"/>
                <w:b/>
                <w:bCs/>
                <w:sz w:val="18"/>
                <w:szCs w:val="18"/>
                <w:lang w:eastAsia="pt-BR"/>
              </w:rPr>
              <w:t xml:space="preserve"> Rating</w:t>
            </w:r>
          </w:p>
        </w:tc>
        <w:tc>
          <w:tcPr>
            <w:tcW w:w="3426" w:type="dxa"/>
            <w:tcBorders>
              <w:top w:val="nil"/>
              <w:left w:val="nil"/>
              <w:bottom w:val="single" w:sz="8" w:space="0" w:color="7F7F7F"/>
              <w:right w:val="nil"/>
            </w:tcBorders>
            <w:shd w:val="clear" w:color="auto" w:fill="D9D9D9"/>
            <w:vAlign w:val="center"/>
          </w:tcPr>
          <w:p w:rsidR="00FA0D86" w:rsidRPr="00132649" w:rsidRDefault="00FA0D86" w:rsidP="00132649">
            <w:pPr>
              <w:spacing w:after="0" w:line="225" w:lineRule="atLeast"/>
              <w:ind w:left="-567" w:right="-568"/>
              <w:jc w:val="center"/>
              <w:rPr>
                <w:rFonts w:eastAsia="Times New Roman"/>
                <w:sz w:val="18"/>
                <w:szCs w:val="18"/>
                <w:lang w:eastAsia="pt-BR"/>
              </w:rPr>
            </w:pPr>
            <w:r w:rsidRPr="00132649">
              <w:rPr>
                <w:rFonts w:eastAsia="Times New Roman" w:cs="Arial"/>
                <w:b/>
                <w:bCs/>
                <w:sz w:val="18"/>
                <w:szCs w:val="18"/>
                <w:lang w:eastAsia="pt-BR"/>
              </w:rPr>
              <w:t>A (perspectiva estável)</w:t>
            </w:r>
          </w:p>
        </w:tc>
      </w:tr>
    </w:tbl>
    <w:p w:rsidR="00FA0D86" w:rsidRPr="00132649" w:rsidRDefault="00FA0D86" w:rsidP="00132649">
      <w:pPr>
        <w:autoSpaceDE w:val="0"/>
        <w:autoSpaceDN w:val="0"/>
        <w:adjustRightInd w:val="0"/>
        <w:spacing w:after="120" w:line="288" w:lineRule="auto"/>
        <w:ind w:left="-567" w:right="-568"/>
        <w:rPr>
          <w:rFonts w:cs="Arial"/>
          <w:b/>
          <w:bCs/>
          <w:sz w:val="18"/>
          <w:szCs w:val="18"/>
        </w:rPr>
      </w:pP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lastRenderedPageBreak/>
        <w:t xml:space="preserve">As agências classificadoras de risco supracitadas estão devidamente autorizadas a operar no Brasil e </w:t>
      </w:r>
      <w:proofErr w:type="gramStart"/>
      <w:r w:rsidRPr="00132649">
        <w:rPr>
          <w:rFonts w:eastAsia="Times New Roman" w:cs="Calibri"/>
          <w:sz w:val="18"/>
          <w:szCs w:val="18"/>
          <w:lang w:eastAsia="pt-BR"/>
        </w:rPr>
        <w:t>utilizam</w:t>
      </w:r>
      <w:proofErr w:type="gramEnd"/>
      <w:r w:rsidRPr="00132649">
        <w:rPr>
          <w:rFonts w:eastAsia="Times New Roman" w:cs="Calibri"/>
          <w:sz w:val="18"/>
          <w:szCs w:val="18"/>
          <w:lang w:eastAsia="pt-BR"/>
        </w:rPr>
        <w:t xml:space="preserve"> o sistema de “rating” para classificar o nível de risco de uma instituição, fundo de investimentos e dos ativos integrantes de sua carteira.</w:t>
      </w:r>
    </w:p>
    <w:p w:rsidR="00FA0D86" w:rsidRPr="00132649" w:rsidRDefault="00FA0D86" w:rsidP="00132649">
      <w:pPr>
        <w:autoSpaceDE w:val="0"/>
        <w:autoSpaceDN w:val="0"/>
        <w:adjustRightInd w:val="0"/>
        <w:spacing w:after="240" w:line="360" w:lineRule="auto"/>
        <w:ind w:left="-567" w:right="-568"/>
        <w:jc w:val="both"/>
        <w:rPr>
          <w:rFonts w:cs="Arial"/>
          <w:bCs/>
          <w:sz w:val="18"/>
          <w:szCs w:val="18"/>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17" w:name="_Toc435259876"/>
      <w:r w:rsidRPr="00132649">
        <w:rPr>
          <w:rFonts w:ascii="Calibri" w:hAnsi="Calibri" w:cs="Calibri"/>
          <w:color w:val="auto"/>
          <w:sz w:val="18"/>
          <w:szCs w:val="18"/>
          <w:lang w:eastAsia="pt-BR"/>
        </w:rPr>
        <w:t>Controle do Risco de Liquidez</w:t>
      </w:r>
      <w:bookmarkEnd w:id="17"/>
      <w:r w:rsidRPr="00132649">
        <w:rPr>
          <w:rFonts w:ascii="Calibri" w:hAnsi="Calibri" w:cs="Calibri"/>
          <w:color w:val="auto"/>
          <w:sz w:val="18"/>
          <w:szCs w:val="18"/>
          <w:lang w:eastAsia="pt-BR"/>
        </w:rPr>
        <w:t xml:space="preserve">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Nas aplicações em fundos de investimentos constituídos sob a forma de condomínio fechado, e nas aplicações cuja soma do prazo de carência (se houver) acrescido ao prazo de conversão de cotas ultrapassarem em 180 dias, a aprovação do investimento deverá ser precedida de uma análise que evidencie a capacidade do RPPS em arcar com o fluxo de despesas necessárias ao cumprimento de suas obrigações atuariais, até a data da disponibilização dos recursos investidos.</w:t>
      </w:r>
    </w:p>
    <w:tbl>
      <w:tblPr>
        <w:tblW w:w="0" w:type="auto"/>
        <w:shd w:val="clear" w:color="auto" w:fill="F2F2F2"/>
        <w:tblLook w:val="04A0" w:firstRow="1" w:lastRow="0" w:firstColumn="1" w:lastColumn="0" w:noHBand="0" w:noVBand="1"/>
      </w:tblPr>
      <w:tblGrid>
        <w:gridCol w:w="8720"/>
      </w:tblGrid>
      <w:tr w:rsidR="00FA0D86" w:rsidRPr="00132649" w:rsidTr="00563EAB">
        <w:trPr>
          <w:trHeight w:val="328"/>
        </w:trPr>
        <w:tc>
          <w:tcPr>
            <w:tcW w:w="872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hAnsi="Calibri" w:cs="Arial"/>
                <w:sz w:val="18"/>
                <w:szCs w:val="18"/>
              </w:rPr>
              <w:t xml:space="preserve"> </w:t>
            </w:r>
            <w:bookmarkStart w:id="18" w:name="_Toc435259877"/>
            <w:r w:rsidRPr="00132649">
              <w:rPr>
                <w:rFonts w:ascii="Calibri" w:hAnsi="Calibri"/>
                <w:color w:val="auto"/>
                <w:sz w:val="18"/>
                <w:szCs w:val="18"/>
                <w:lang w:val="pt-BR"/>
              </w:rPr>
              <w:t>Política de Transparência</w:t>
            </w:r>
            <w:bookmarkEnd w:id="18"/>
          </w:p>
        </w:tc>
      </w:tr>
    </w:tbl>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As informações contidas na Política de Investimentos e em suas revisões deverão ser disponibilizadas aos interessados, no prazo de trinta dias, contados de sua aprovação, observados os critérios estabelecidos pelo Ministério da Previdência Social. À vista da exigência contida no art. 4º, incisos I, II, III e IV,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tbl>
      <w:tblPr>
        <w:tblW w:w="0" w:type="auto"/>
        <w:shd w:val="clear" w:color="auto" w:fill="F2F2F2"/>
        <w:tblLook w:val="04A0" w:firstRow="1" w:lastRow="0" w:firstColumn="1" w:lastColumn="0" w:noHBand="0" w:noVBand="1"/>
      </w:tblPr>
      <w:tblGrid>
        <w:gridCol w:w="8720"/>
      </w:tblGrid>
      <w:tr w:rsidR="00FA0D86" w:rsidRPr="00132649" w:rsidTr="00563EAB">
        <w:trPr>
          <w:trHeight w:val="328"/>
        </w:trPr>
        <w:tc>
          <w:tcPr>
            <w:tcW w:w="872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bookmarkStart w:id="19" w:name="_Toc435259878"/>
            <w:r w:rsidRPr="00132649">
              <w:rPr>
                <w:rFonts w:ascii="Calibri" w:hAnsi="Calibri"/>
                <w:color w:val="auto"/>
                <w:sz w:val="18"/>
                <w:szCs w:val="18"/>
              </w:rPr>
              <w:t xml:space="preserve">Critérios </w:t>
            </w:r>
            <w:r w:rsidRPr="00132649">
              <w:rPr>
                <w:rFonts w:ascii="Calibri" w:hAnsi="Calibri"/>
                <w:color w:val="auto"/>
                <w:sz w:val="18"/>
                <w:szCs w:val="18"/>
                <w:lang w:val="pt-BR"/>
              </w:rPr>
              <w:t>para Credenciamento</w:t>
            </w:r>
            <w:r w:rsidRPr="00132649">
              <w:rPr>
                <w:rFonts w:ascii="Calibri" w:hAnsi="Calibri"/>
                <w:color w:val="auto"/>
                <w:sz w:val="18"/>
                <w:szCs w:val="18"/>
              </w:rPr>
              <w:t xml:space="preserve"> – Gestor e Administrador</w:t>
            </w:r>
            <w:bookmarkEnd w:id="19"/>
          </w:p>
        </w:tc>
      </w:tr>
    </w:tbl>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Seguindo a Portaria MPS nº 519, de 24 de agosto de 2011, na gestão própria, antes da realização de qualquer operação, o RPPS, na figura de seu Comitê de Investimentos, deverá assegurar que as instituições escolhidas para receber as aplicações tenham sido objeto de prévio credenciamento.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Para tal credenciamento, deverão ser observados, e formalmente atestados pelo representante legal do RPPS e submetido à aprovação do Comitê de Investimentos, no mínimo, quesitos como: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 atos de registro ou autorização para funcionamento expedido pelo Banco Central do Brasil ou Comissão de Valores Mobiliários ou órgão competente;</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b) observação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c) regularidade fiscal e previdenciária.</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Quando se tratar de fundos de investimento, o credenciamento previsto recairá sobre a figura do gestor e do administrador do fundo.</w:t>
      </w:r>
    </w:p>
    <w:p w:rsidR="00FA0D86" w:rsidRPr="00132649" w:rsidRDefault="00FA0D86" w:rsidP="00132649">
      <w:pPr>
        <w:ind w:left="-567" w:right="-568"/>
        <w:jc w:val="both"/>
        <w:rPr>
          <w:rFonts w:cs="Arial"/>
          <w:sz w:val="18"/>
          <w:szCs w:val="18"/>
        </w:rPr>
      </w:pPr>
    </w:p>
    <w:p w:rsidR="00FA0D86" w:rsidRPr="00132649" w:rsidRDefault="00FA0D86" w:rsidP="00132649">
      <w:pPr>
        <w:pStyle w:val="Ttulo2"/>
        <w:numPr>
          <w:ilvl w:val="1"/>
          <w:numId w:val="6"/>
        </w:numPr>
        <w:ind w:left="-567" w:right="-568" w:firstLine="0"/>
        <w:rPr>
          <w:rFonts w:ascii="Calibri" w:hAnsi="Calibri" w:cs="Calibri"/>
          <w:color w:val="auto"/>
          <w:sz w:val="18"/>
          <w:szCs w:val="18"/>
          <w:lang w:eastAsia="pt-BR"/>
        </w:rPr>
      </w:pPr>
      <w:bookmarkStart w:id="20" w:name="_Toc435259879"/>
      <w:r w:rsidRPr="00132649">
        <w:rPr>
          <w:rFonts w:ascii="Calibri" w:hAnsi="Calibri" w:cs="Calibri"/>
          <w:color w:val="auto"/>
          <w:sz w:val="18"/>
          <w:szCs w:val="18"/>
          <w:lang w:eastAsia="pt-BR"/>
        </w:rPr>
        <w:lastRenderedPageBreak/>
        <w:t>Processo de Seleção e Avaliação de Gestores/Administradores</w:t>
      </w:r>
      <w:bookmarkEnd w:id="20"/>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Nos processos de seleção dos Gestores/Administradores, devem ser considerados os aspectos qualitativos e quantitativos, tendo como parâmetro de análise no mínimo:</w:t>
      </w:r>
    </w:p>
    <w:p w:rsidR="00FA0D86" w:rsidRPr="00132649" w:rsidRDefault="00FA0D86" w:rsidP="00132649">
      <w:pPr>
        <w:numPr>
          <w:ilvl w:val="0"/>
          <w:numId w:val="4"/>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Histórico e experiência de atuação da gestora e/ou da administradora e de seus controladores;</w:t>
      </w:r>
    </w:p>
    <w:p w:rsidR="00FA0D86" w:rsidRPr="00132649" w:rsidRDefault="00FA0D86" w:rsidP="00132649">
      <w:pPr>
        <w:numPr>
          <w:ilvl w:val="0"/>
          <w:numId w:val="4"/>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 xml:space="preserve">Volume de recursos </w:t>
      </w:r>
      <w:proofErr w:type="gramStart"/>
      <w:r w:rsidRPr="00132649">
        <w:rPr>
          <w:rFonts w:eastAsia="Times New Roman" w:cs="Calibri"/>
          <w:sz w:val="18"/>
          <w:szCs w:val="18"/>
          <w:lang w:eastAsia="pt-BR"/>
        </w:rPr>
        <w:t>sob gestão</w:t>
      </w:r>
      <w:proofErr w:type="gramEnd"/>
      <w:r w:rsidRPr="00132649">
        <w:rPr>
          <w:rFonts w:eastAsia="Times New Roman" w:cs="Calibri"/>
          <w:sz w:val="18"/>
          <w:szCs w:val="18"/>
          <w:lang w:eastAsia="pt-BR"/>
        </w:rPr>
        <w:t xml:space="preserve"> e/ou administração;</w:t>
      </w:r>
    </w:p>
    <w:p w:rsidR="00FA0D86" w:rsidRPr="00132649" w:rsidRDefault="00FA0D86" w:rsidP="00132649">
      <w:pPr>
        <w:numPr>
          <w:ilvl w:val="0"/>
          <w:numId w:val="4"/>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Ambiente de controles, boas práticas operacionais, qualidade da equipe de gestão e/ou administração e gestão de riscos.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Entende-se que os fundos possuem uma gestão discricionária, na qual o gestor decide pelos investimentos que vai realizar, desde que respeitando o regulamento do fundo e as normas aplicáveis aos RPPS.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Encontra-se qualificado para participar do processo seletivo qualquer empresa gestora de recursos </w:t>
      </w:r>
      <w:proofErr w:type="gramStart"/>
      <w:r w:rsidRPr="00132649">
        <w:rPr>
          <w:rFonts w:eastAsia="Times New Roman" w:cs="Calibri"/>
          <w:sz w:val="18"/>
          <w:szCs w:val="18"/>
          <w:lang w:eastAsia="pt-BR"/>
        </w:rPr>
        <w:t>financeiros autorizada a funcionar pelo órgão regulador (Banco Central do Brasil ou Comissão de Valores Mobiliários), sendo considerada como elegível a gestora/administradora que atender ao critério de avaliação de Qualidade de Gestão dos Investimentos</w:t>
      </w:r>
      <w:proofErr w:type="gramEnd"/>
      <w:r w:rsidRPr="00132649">
        <w:rPr>
          <w:rFonts w:eastAsia="Times New Roman" w:cs="Calibri"/>
          <w:sz w:val="18"/>
          <w:szCs w:val="18"/>
          <w:lang w:eastAsia="pt-BR"/>
        </w:rPr>
        <w:t>.</w:t>
      </w:r>
    </w:p>
    <w:p w:rsidR="00FA0D86" w:rsidRPr="00132649" w:rsidRDefault="00FA0D86" w:rsidP="00132649">
      <w:pPr>
        <w:ind w:left="-567" w:right="-568"/>
        <w:jc w:val="both"/>
        <w:rPr>
          <w:rFonts w:cs="Arial"/>
          <w:sz w:val="18"/>
          <w:szCs w:val="18"/>
        </w:rPr>
      </w:pPr>
    </w:p>
    <w:p w:rsidR="00FA0D86" w:rsidRPr="00132649" w:rsidRDefault="00FA0D86" w:rsidP="00132649">
      <w:pPr>
        <w:pStyle w:val="Ttulo3"/>
        <w:numPr>
          <w:ilvl w:val="2"/>
          <w:numId w:val="6"/>
        </w:numPr>
        <w:ind w:left="-567" w:right="-568" w:firstLine="0"/>
        <w:rPr>
          <w:rFonts w:ascii="Calibri" w:hAnsi="Calibri" w:cs="Calibri"/>
          <w:color w:val="auto"/>
          <w:sz w:val="18"/>
          <w:szCs w:val="18"/>
          <w:lang w:eastAsia="pt-BR"/>
        </w:rPr>
      </w:pPr>
      <w:bookmarkStart w:id="21" w:name="_Toc435259880"/>
      <w:r w:rsidRPr="00132649">
        <w:rPr>
          <w:rFonts w:ascii="Calibri" w:hAnsi="Calibri" w:cs="Calibri"/>
          <w:color w:val="auto"/>
          <w:sz w:val="18"/>
          <w:szCs w:val="18"/>
          <w:lang w:eastAsia="pt-BR"/>
        </w:rPr>
        <w:t>Processo de Credenciamento</w:t>
      </w:r>
      <w:bookmarkEnd w:id="21"/>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Para o processo de credenciamento das instituições financeiras, o RPPS deverá se remeter a Portaria MPAS nº 519, de 24 de agosto de 2011, em norma a ser definida pelo Comitê de Investimentos e divulgada publicamente. </w:t>
      </w:r>
    </w:p>
    <w:tbl>
      <w:tblPr>
        <w:tblW w:w="0" w:type="auto"/>
        <w:shd w:val="clear" w:color="auto" w:fill="F2F2F2"/>
        <w:tblLook w:val="04A0" w:firstRow="1" w:lastRow="0" w:firstColumn="1" w:lastColumn="0" w:noHBand="0" w:noVBand="1"/>
      </w:tblPr>
      <w:tblGrid>
        <w:gridCol w:w="8720"/>
      </w:tblGrid>
      <w:tr w:rsidR="00FA0D86" w:rsidRPr="00132649" w:rsidTr="00563EAB">
        <w:trPr>
          <w:trHeight w:val="328"/>
        </w:trPr>
        <w:tc>
          <w:tcPr>
            <w:tcW w:w="872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hAnsi="Calibri"/>
                <w:color w:val="auto"/>
                <w:sz w:val="18"/>
                <w:szCs w:val="18"/>
                <w:lang w:val="pt-BR"/>
              </w:rPr>
              <w:t xml:space="preserve">     </w:t>
            </w:r>
            <w:bookmarkStart w:id="22" w:name="_Toc435259881"/>
            <w:r w:rsidRPr="00132649">
              <w:rPr>
                <w:rFonts w:ascii="Calibri" w:hAnsi="Calibri"/>
                <w:color w:val="auto"/>
                <w:sz w:val="18"/>
                <w:szCs w:val="18"/>
              </w:rPr>
              <w:t>Controles Internos</w:t>
            </w:r>
            <w:bookmarkEnd w:id="22"/>
          </w:p>
        </w:tc>
      </w:tr>
    </w:tbl>
    <w:p w:rsidR="00FA0D86" w:rsidRPr="00132649" w:rsidRDefault="00ED313A" w:rsidP="00ED313A">
      <w:pPr>
        <w:spacing w:before="240" w:line="320" w:lineRule="exact"/>
        <w:ind w:left="-567" w:right="-568"/>
        <w:jc w:val="both"/>
        <w:rPr>
          <w:rFonts w:eastAsia="Times New Roman" w:cs="Calibri"/>
          <w:sz w:val="18"/>
          <w:szCs w:val="18"/>
          <w:lang w:eastAsia="pt-BR"/>
        </w:rPr>
      </w:pPr>
      <w:r>
        <w:rPr>
          <w:rFonts w:eastAsia="Times New Roman" w:cs="Calibri"/>
          <w:sz w:val="18"/>
          <w:szCs w:val="18"/>
          <w:lang w:eastAsia="pt-BR"/>
        </w:rPr>
        <w:t>An</w:t>
      </w:r>
      <w:r w:rsidR="00FA0D86" w:rsidRPr="00132649">
        <w:rPr>
          <w:rFonts w:eastAsia="Times New Roman" w:cs="Calibri"/>
          <w:sz w:val="18"/>
          <w:szCs w:val="18"/>
          <w:lang w:eastAsia="pt-BR"/>
        </w:rPr>
        <w:t>tes das aplicações, a gestão do RPPS deverá verificar, no mínimo, aspectos como: enquadramento do produto quanto às exigências legais, seu histórico de rentabilidade, riscos e perspectiva de rentabilidade satisfatória no horizonte de tempo.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Todos os ativos e valores mobiliários adquiridos pelo RPPS deverão ser registrados nos Sistemas de Liquidação e Custódia: SELIC, CETIP ou Câmaras de Compensação autorizadas pela CVM. </w:t>
      </w:r>
    </w:p>
    <w:p w:rsidR="00FA0D86" w:rsidRPr="00132649" w:rsidRDefault="00FA0D86" w:rsidP="00ED313A">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 gestão do RPPS sempre fará a comparação dos investimentos com a sua meta atuarial para identificar aqueles com rentabilidade insatisfatória, ou inadequação ao cenário econômico, visando possíveis indicações de solicitação de </w:t>
      </w:r>
      <w:proofErr w:type="gramStart"/>
      <w:r w:rsidRPr="00132649">
        <w:rPr>
          <w:rFonts w:eastAsia="Times New Roman" w:cs="Calibri"/>
          <w:sz w:val="18"/>
          <w:szCs w:val="18"/>
          <w:lang w:eastAsia="pt-BR"/>
        </w:rPr>
        <w:t>resgate.</w:t>
      </w:r>
      <w:proofErr w:type="gramEnd"/>
      <w:r w:rsidRPr="00132649">
        <w:rPr>
          <w:rFonts w:eastAsia="Times New Roman" w:cs="Calibri"/>
          <w:sz w:val="18"/>
          <w:szCs w:val="18"/>
          <w:lang w:eastAsia="pt-BR"/>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Compete ao Comitê de Investimentos, orientar a aplicação dos recursos financeiros e a operacionalização da Política de Investimentos do RPPS. Ainda dentro de suas atribuições, é de sua competência: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I - garantir o cumprimento da legislação e da política de investimentos;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II - avaliar a conveniência e adequação dos investimentos;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lastRenderedPageBreak/>
        <w:t>III - monitorar o grau de risco dos investimentos;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IV - observar que a rentabilidade dos recursos esteja de acordo com o nível de risco assumido pela entidade;</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V - garantir a gestão ética e transparente dos recursos.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Sua atuação será pautada na avaliação das alternativas de investimentos com base nas expectativas quanto ao comportamento das variáveis econômicas e ficará limitada às determinações desta Política.</w:t>
      </w:r>
    </w:p>
    <w:p w:rsidR="00FA0D86" w:rsidRPr="00132649" w:rsidRDefault="00FA0D86" w:rsidP="00ED313A">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São avaliados pelos responsáveis pela gestão dos recursos do </w:t>
      </w:r>
      <w:r w:rsidRPr="00132649">
        <w:rPr>
          <w:rFonts w:eastAsia="Times New Roman" w:cs="Calibri"/>
          <w:noProof/>
          <w:sz w:val="18"/>
          <w:szCs w:val="18"/>
          <w:lang w:eastAsia="pt-BR"/>
        </w:rPr>
        <w:t>INSTITUTO DE PREVIDÊNCIA SOCIAL DOS SERVIDORES MUNICIPAIS DE NOVA ALVORADA DO SUL</w:t>
      </w:r>
      <w:r w:rsidRPr="00132649">
        <w:rPr>
          <w:rFonts w:eastAsia="Times New Roman" w:cs="Calibri"/>
          <w:sz w:val="18"/>
          <w:szCs w:val="18"/>
          <w:lang w:eastAsia="pt-BR"/>
        </w:rPr>
        <w:t xml:space="preserve">,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w:t>
      </w:r>
      <w:proofErr w:type="spellStart"/>
      <w:proofErr w:type="gramStart"/>
      <w:r w:rsidRPr="00132649">
        <w:rPr>
          <w:rFonts w:eastAsia="Times New Roman" w:cs="Calibri"/>
          <w:sz w:val="18"/>
          <w:szCs w:val="18"/>
          <w:lang w:eastAsia="pt-BR"/>
        </w:rPr>
        <w:t>recursos.</w:t>
      </w:r>
      <w:proofErr w:type="gramEnd"/>
      <w:r w:rsidRPr="00132649">
        <w:rPr>
          <w:rFonts w:eastAsia="Times New Roman" w:cs="Calibri"/>
          <w:sz w:val="18"/>
          <w:szCs w:val="18"/>
          <w:lang w:eastAsia="pt-BR"/>
        </w:rPr>
        <w:t>Os</w:t>
      </w:r>
      <w:proofErr w:type="spellEnd"/>
      <w:r w:rsidRPr="00132649">
        <w:rPr>
          <w:rFonts w:eastAsia="Times New Roman" w:cs="Calibri"/>
          <w:sz w:val="18"/>
          <w:szCs w:val="18"/>
          <w:lang w:eastAsia="pt-BR"/>
        </w:rPr>
        <w:t xml:space="preserve"> relatórios supracitados serão mantidos e colocados à disposição do Ministério da Previdência Social, Tribunal de Contas do Estado, Conselho Fiscal e de Administração e demais órgãos </w:t>
      </w:r>
      <w:proofErr w:type="spellStart"/>
      <w:r w:rsidRPr="00132649">
        <w:rPr>
          <w:rFonts w:eastAsia="Times New Roman" w:cs="Calibri"/>
          <w:sz w:val="18"/>
          <w:szCs w:val="18"/>
          <w:lang w:eastAsia="pt-BR"/>
        </w:rPr>
        <w:t>fiscalizadores.Caberá</w:t>
      </w:r>
      <w:proofErr w:type="spellEnd"/>
      <w:r w:rsidRPr="00132649">
        <w:rPr>
          <w:rFonts w:eastAsia="Times New Roman" w:cs="Calibri"/>
          <w:sz w:val="18"/>
          <w:szCs w:val="18"/>
          <w:lang w:eastAsia="pt-BR"/>
        </w:rPr>
        <w:t xml:space="preserve"> ao comitê de investimentos do RPPS acompanhar a Política de Investimentos e sua aderência legal analisando a efetiva aplicação dos seus dispositivos.</w:t>
      </w:r>
      <w:r w:rsidR="00ED313A">
        <w:rPr>
          <w:rFonts w:eastAsia="Times New Roman" w:cs="Calibri"/>
          <w:sz w:val="18"/>
          <w:szCs w:val="18"/>
          <w:lang w:eastAsia="pt-BR"/>
        </w:rPr>
        <w:t xml:space="preserve"> </w:t>
      </w:r>
      <w:r w:rsidRPr="00132649">
        <w:rPr>
          <w:rFonts w:eastAsia="Times New Roman" w:cs="Calibri"/>
          <w:sz w:val="18"/>
          <w:szCs w:val="18"/>
          <w:lang w:eastAsia="pt-BR"/>
        </w:rPr>
        <w:t xml:space="preserve">As operações realizadas no mercado secundário (compra/venda de títulos públicos) deverão ser realizadas através de plataforma eletrônica autorizada, </w:t>
      </w:r>
      <w:proofErr w:type="spellStart"/>
      <w:r w:rsidRPr="00132649">
        <w:rPr>
          <w:rFonts w:eastAsia="Times New Roman" w:cs="Calibri"/>
          <w:sz w:val="18"/>
          <w:szCs w:val="18"/>
          <w:lang w:eastAsia="pt-BR"/>
        </w:rPr>
        <w:t>Sisbex</w:t>
      </w:r>
      <w:proofErr w:type="spellEnd"/>
      <w:r w:rsidRPr="00132649">
        <w:rPr>
          <w:rFonts w:eastAsia="Times New Roman" w:cs="Calibri"/>
          <w:sz w:val="18"/>
          <w:szCs w:val="18"/>
          <w:lang w:eastAsia="pt-BR"/>
        </w:rPr>
        <w:t xml:space="preserve"> da BM&amp;F e </w:t>
      </w:r>
      <w:proofErr w:type="spellStart"/>
      <w:proofErr w:type="gramStart"/>
      <w:r w:rsidRPr="00132649">
        <w:rPr>
          <w:rFonts w:eastAsia="Times New Roman" w:cs="Calibri"/>
          <w:sz w:val="18"/>
          <w:szCs w:val="18"/>
          <w:lang w:eastAsia="pt-BR"/>
        </w:rPr>
        <w:t>CetipNet</w:t>
      </w:r>
      <w:proofErr w:type="spellEnd"/>
      <w:proofErr w:type="gramEnd"/>
      <w:r w:rsidRPr="00132649">
        <w:rPr>
          <w:rFonts w:eastAsia="Times New Roman" w:cs="Calibri"/>
          <w:sz w:val="18"/>
          <w:szCs w:val="18"/>
          <w:lang w:eastAsia="pt-BR"/>
        </w:rPr>
        <w:t xml:space="preserve"> da </w:t>
      </w:r>
      <w:proofErr w:type="spellStart"/>
      <w:r w:rsidRPr="00132649">
        <w:rPr>
          <w:rFonts w:eastAsia="Times New Roman" w:cs="Calibri"/>
          <w:sz w:val="18"/>
          <w:szCs w:val="18"/>
          <w:lang w:eastAsia="pt-BR"/>
        </w:rPr>
        <w:t>Cetip</w:t>
      </w:r>
      <w:proofErr w:type="spellEnd"/>
      <w:r w:rsidRPr="00132649">
        <w:rPr>
          <w:rFonts w:eastAsia="Times New Roman" w:cs="Calibri"/>
          <w:sz w:val="18"/>
          <w:szCs w:val="18"/>
          <w:lang w:eastAsia="pt-BR"/>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bookmarkStart w:id="23" w:name="_GoBack"/>
      <w:bookmarkEnd w:id="23"/>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E, de forma organizada, remanejar a alocação inicial em momentos de alta (vendendo) ou baixa (comprando) com o objetivo de </w:t>
      </w:r>
      <w:proofErr w:type="spellStart"/>
      <w:r w:rsidRPr="00132649">
        <w:rPr>
          <w:rFonts w:eastAsia="Times New Roman" w:cs="Calibri"/>
          <w:sz w:val="18"/>
          <w:szCs w:val="18"/>
          <w:lang w:eastAsia="pt-BR"/>
        </w:rPr>
        <w:t>rebalancear</w:t>
      </w:r>
      <w:proofErr w:type="spellEnd"/>
      <w:r w:rsidRPr="00132649">
        <w:rPr>
          <w:rFonts w:eastAsia="Times New Roman" w:cs="Calibri"/>
          <w:sz w:val="18"/>
          <w:szCs w:val="18"/>
          <w:lang w:eastAsia="pt-BR"/>
        </w:rPr>
        <w:t xml:space="preserve"> sua carteira de investimentos. Três virtudes básicas de um bom investidor são fundamentais: disciplina, paciência e diversificação.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Além de estudar o regulamento e o prospecto dos fundos de investimentos, será feita uma análise do gestor/emissor e da taxa de administração cobrada, dentre outros critérios. Os investimentos serão constantemente avaliados através de acompanhamento de desempenho, da abertura da composição das carteiras e avaliações de ativos.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As avaliações são feitas para orientar as definições de estratégias e as tomadas de decisões, de forma a aperfeiçoar o retorno da carteira e minimizar riscos.</w:t>
      </w:r>
    </w:p>
    <w:p w:rsidR="00FA0D86" w:rsidRPr="00132649" w:rsidRDefault="00FA0D86" w:rsidP="00132649">
      <w:pPr>
        <w:spacing w:before="240" w:line="320" w:lineRule="exact"/>
        <w:ind w:left="-567" w:right="-568"/>
        <w:jc w:val="both"/>
        <w:rPr>
          <w:rFonts w:eastAsia="Times New Roman" w:cs="Calibri"/>
          <w:sz w:val="18"/>
          <w:szCs w:val="18"/>
          <w:lang w:eastAsia="pt-BR"/>
        </w:rPr>
      </w:pPr>
    </w:p>
    <w:tbl>
      <w:tblPr>
        <w:tblW w:w="0" w:type="auto"/>
        <w:shd w:val="clear" w:color="auto" w:fill="F2F2F2"/>
        <w:tblLook w:val="04A0" w:firstRow="1" w:lastRow="0" w:firstColumn="1" w:lastColumn="0" w:noHBand="0" w:noVBand="1"/>
      </w:tblPr>
      <w:tblGrid>
        <w:gridCol w:w="8720"/>
      </w:tblGrid>
      <w:tr w:rsidR="00FA0D86" w:rsidRPr="00132649" w:rsidTr="00766925">
        <w:trPr>
          <w:trHeight w:val="328"/>
        </w:trPr>
        <w:tc>
          <w:tcPr>
            <w:tcW w:w="9430" w:type="dxa"/>
            <w:shd w:val="clear" w:color="auto" w:fill="F2F2F2"/>
            <w:vAlign w:val="bottom"/>
          </w:tcPr>
          <w:p w:rsidR="00FA0D86" w:rsidRPr="00132649" w:rsidRDefault="00FA0D86" w:rsidP="00132649">
            <w:pPr>
              <w:pStyle w:val="Ttulo1"/>
              <w:numPr>
                <w:ilvl w:val="0"/>
                <w:numId w:val="6"/>
              </w:numPr>
              <w:spacing w:before="240"/>
              <w:ind w:left="-567" w:right="-568" w:firstLine="0"/>
              <w:rPr>
                <w:rFonts w:ascii="Calibri" w:hAnsi="Calibri"/>
                <w:b w:val="0"/>
                <w:color w:val="auto"/>
                <w:sz w:val="18"/>
                <w:szCs w:val="18"/>
              </w:rPr>
            </w:pPr>
            <w:r w:rsidRPr="00132649">
              <w:rPr>
                <w:rFonts w:ascii="Calibri" w:hAnsi="Calibri"/>
                <w:color w:val="auto"/>
                <w:sz w:val="18"/>
                <w:szCs w:val="18"/>
                <w:lang w:val="pt-BR"/>
              </w:rPr>
              <w:lastRenderedPageBreak/>
              <w:t xml:space="preserve">   </w:t>
            </w:r>
            <w:bookmarkStart w:id="24" w:name="_Toc435259882"/>
            <w:r w:rsidRPr="00132649">
              <w:rPr>
                <w:rFonts w:ascii="Calibri" w:hAnsi="Calibri"/>
                <w:color w:val="auto"/>
                <w:sz w:val="18"/>
                <w:szCs w:val="18"/>
              </w:rPr>
              <w:t>Disposições Gerais</w:t>
            </w:r>
            <w:bookmarkEnd w:id="24"/>
          </w:p>
        </w:tc>
      </w:tr>
    </w:tbl>
    <w:p w:rsidR="00FA0D86" w:rsidRPr="00132649" w:rsidRDefault="00FA0D86" w:rsidP="00132649">
      <w:pPr>
        <w:spacing w:before="240" w:line="320" w:lineRule="exact"/>
        <w:ind w:left="-567" w:right="-568"/>
        <w:jc w:val="both"/>
        <w:rPr>
          <w:rFonts w:eastAsia="Times New Roman" w:cs="Calibri"/>
          <w:sz w:val="18"/>
          <w:szCs w:val="18"/>
          <w:lang w:eastAsia="pt-BR"/>
        </w:rPr>
      </w:pP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 presente Política de Investimentos poderá ser revista no curso de sua execução e monitorada no curto prazo, a contar da data de sua aprovação pelo órgão superior competente do RPPS, sendo que o prazo de validade compreenderá o ano de 2017.</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A comprovação da habilitação ocorrerá mediante o preenchimento dos campos específicos constantes do Demonstrativo da Política de Investimentos - DPIN e do Demonstrativo de Aplicações e Investimentos dos Recursos - DAIR. </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 xml:space="preserve">Ressalvadas situações especiais a serem avaliadas pelo Comitê de Investimentos do RPPS (tais como fundos fechados, fundos abertos com prazos de captação limitados), os fundos elegíveis para alocação deverão apresentar série histórica de, no mínimo, </w:t>
      </w:r>
      <w:proofErr w:type="gramStart"/>
      <w:r w:rsidRPr="00132649">
        <w:rPr>
          <w:rFonts w:eastAsia="Times New Roman" w:cs="Calibri"/>
          <w:sz w:val="18"/>
          <w:szCs w:val="18"/>
          <w:lang w:eastAsia="pt-BR"/>
        </w:rPr>
        <w:t>6</w:t>
      </w:r>
      <w:proofErr w:type="gramEnd"/>
      <w:r w:rsidRPr="00132649">
        <w:rPr>
          <w:rFonts w:eastAsia="Times New Roman" w:cs="Calibri"/>
          <w:sz w:val="18"/>
          <w:szCs w:val="18"/>
          <w:lang w:eastAsia="pt-BR"/>
        </w:rPr>
        <w:t xml:space="preserve"> (seis) meses, contados da data de início de funcionamento do fundo.</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Casos omissos nesta Política de Investimentos remetem-se à Resolução CMN n° 3.922/2010, e à Portaria MPS nº 519, de 24 de agosto de 2011.</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lang w:eastAsia="pt-BR"/>
        </w:rPr>
        <w:t>É parte integrante desta Política de Investimentos, cópia da Ata do órgão superior competente que aprova o presente instrumento, devidamente assinada por seus membros.</w:t>
      </w:r>
    </w:p>
    <w:p w:rsidR="00FA0D86" w:rsidRPr="00132649" w:rsidRDefault="00FA0D86" w:rsidP="00132649">
      <w:pPr>
        <w:spacing w:before="240" w:line="320" w:lineRule="exact"/>
        <w:ind w:left="-567" w:right="-568"/>
        <w:jc w:val="both"/>
        <w:rPr>
          <w:rFonts w:eastAsia="Times New Roman" w:cs="Calibri"/>
          <w:sz w:val="18"/>
          <w:szCs w:val="18"/>
          <w:lang w:eastAsia="pt-BR"/>
        </w:rPr>
      </w:pPr>
      <w:r w:rsidRPr="00132649">
        <w:rPr>
          <w:rFonts w:eastAsia="Times New Roman" w:cs="Calibri"/>
          <w:sz w:val="18"/>
          <w:szCs w:val="18"/>
          <w:u w:val="single"/>
          <w:lang w:eastAsia="pt-BR"/>
        </w:rPr>
        <w:t>Observação:</w:t>
      </w:r>
      <w:r w:rsidRPr="00132649">
        <w:rPr>
          <w:rFonts w:eastAsia="Times New Roman" w:cs="Calibri"/>
          <w:sz w:val="18"/>
          <w:szCs w:val="18"/>
          <w:lang w:eastAsia="pt-BR"/>
        </w:rPr>
        <w:t xml:space="preserve"> Conforme Portaria MPS nº 440, de 09 de outubro de 2013, este documento deverá ser assinado:</w:t>
      </w:r>
    </w:p>
    <w:p w:rsidR="00FA0D86" w:rsidRPr="00132649" w:rsidRDefault="00FA0D86" w:rsidP="00132649">
      <w:pPr>
        <w:numPr>
          <w:ilvl w:val="0"/>
          <w:numId w:val="5"/>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Pelo representante do ente federativo;</w:t>
      </w:r>
    </w:p>
    <w:p w:rsidR="00FA0D86" w:rsidRPr="00132649" w:rsidRDefault="00FA0D86" w:rsidP="00132649">
      <w:pPr>
        <w:numPr>
          <w:ilvl w:val="0"/>
          <w:numId w:val="5"/>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Pelo representante da unidade gestora do RPPS;</w:t>
      </w:r>
    </w:p>
    <w:p w:rsidR="00FA0D86" w:rsidRPr="00132649" w:rsidRDefault="00FA0D86" w:rsidP="00132649">
      <w:pPr>
        <w:numPr>
          <w:ilvl w:val="0"/>
          <w:numId w:val="5"/>
        </w:numPr>
        <w:spacing w:before="240" w:after="200" w:line="320" w:lineRule="exact"/>
        <w:ind w:left="-567" w:right="-568" w:firstLine="0"/>
        <w:jc w:val="both"/>
        <w:rPr>
          <w:rFonts w:eastAsia="Times New Roman" w:cs="Calibri"/>
          <w:sz w:val="18"/>
          <w:szCs w:val="18"/>
          <w:lang w:eastAsia="pt-BR"/>
        </w:rPr>
      </w:pPr>
      <w:r w:rsidRPr="00132649">
        <w:rPr>
          <w:rFonts w:eastAsia="Times New Roman" w:cs="Calibri"/>
          <w:sz w:val="18"/>
          <w:szCs w:val="18"/>
          <w:lang w:eastAsia="pt-BR"/>
        </w:rPr>
        <w:t>Pelos responsáveis pela elaboração, aprovação e execução desta Política de Investimentos.</w:t>
      </w:r>
    </w:p>
    <w:p w:rsidR="00A65717" w:rsidRPr="00132649" w:rsidRDefault="00A65717" w:rsidP="00132649">
      <w:pPr>
        <w:ind w:left="-567" w:right="-568"/>
        <w:rPr>
          <w:sz w:val="18"/>
          <w:szCs w:val="18"/>
        </w:rPr>
      </w:pPr>
    </w:p>
    <w:sectPr w:rsidR="00A65717" w:rsidRPr="00132649" w:rsidSect="00563EAB">
      <w:headerReference w:type="default" r:id="rId11"/>
      <w:footerReference w:type="default" r:id="rId12"/>
      <w:pgSz w:w="11906" w:h="16838"/>
      <w:pgMar w:top="238" w:right="1701" w:bottom="1134"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84" w:rsidRDefault="00984084" w:rsidP="006D6043">
      <w:pPr>
        <w:spacing w:after="0" w:line="240" w:lineRule="auto"/>
      </w:pPr>
      <w:r>
        <w:separator/>
      </w:r>
    </w:p>
  </w:endnote>
  <w:endnote w:type="continuationSeparator" w:id="0">
    <w:p w:rsidR="00984084" w:rsidRDefault="00984084" w:rsidP="006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17" w:rsidRPr="00563EAB" w:rsidRDefault="00A65717" w:rsidP="00771FA7">
    <w:pPr>
      <w:jc w:val="center"/>
      <w:rPr>
        <w:rFonts w:ascii="Arial" w:hAnsi="Arial" w:cs="Arial"/>
        <w:b/>
        <w:sz w:val="12"/>
        <w:szCs w:val="12"/>
      </w:rPr>
    </w:pPr>
    <w:r w:rsidRPr="00563EAB">
      <w:rPr>
        <w:rFonts w:ascii="Arial" w:hAnsi="Arial" w:cs="Arial"/>
        <w:b/>
        <w:sz w:val="12"/>
        <w:szCs w:val="12"/>
      </w:rPr>
      <w:t>PREVNAS- Instituto de Previdência Social dos Servidores Municipais de Nova Alvorada do Sul-MS</w:t>
    </w:r>
  </w:p>
  <w:p w:rsidR="00A65717" w:rsidRPr="00563EAB" w:rsidRDefault="00A65717" w:rsidP="00771FA7">
    <w:pPr>
      <w:jc w:val="center"/>
      <w:rPr>
        <w:rFonts w:ascii="Arial" w:hAnsi="Arial" w:cs="Arial"/>
        <w:b/>
        <w:sz w:val="12"/>
        <w:szCs w:val="12"/>
      </w:rPr>
    </w:pPr>
    <w:r w:rsidRPr="00563EAB">
      <w:rPr>
        <w:rFonts w:ascii="Arial" w:hAnsi="Arial" w:cs="Arial"/>
        <w:b/>
        <w:sz w:val="12"/>
        <w:szCs w:val="12"/>
      </w:rPr>
      <w:t xml:space="preserve">E-MAIL: </w:t>
    </w:r>
    <w:hyperlink r:id="rId1" w:history="1">
      <w:r w:rsidRPr="00563EAB">
        <w:rPr>
          <w:rStyle w:val="Hyperlink"/>
          <w:rFonts w:ascii="Arial" w:hAnsi="Arial" w:cs="Arial"/>
          <w:b/>
          <w:sz w:val="12"/>
          <w:szCs w:val="12"/>
        </w:rPr>
        <w:t>prevnas.dir@hotmail.com</w:t>
      </w:r>
    </w:hyperlink>
    <w:r w:rsidRPr="00563EAB">
      <w:rPr>
        <w:rFonts w:ascii="Arial" w:hAnsi="Arial" w:cs="Arial"/>
        <w:b/>
        <w:sz w:val="12"/>
        <w:szCs w:val="12"/>
      </w:rPr>
      <w:t xml:space="preserve"> Fone: (67) 34561008- 999164960 -9 99141337-9 99276713</w:t>
    </w:r>
  </w:p>
  <w:p w:rsidR="00A65717" w:rsidRPr="00563EAB" w:rsidRDefault="00A65717" w:rsidP="00771FA7">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84" w:rsidRDefault="00984084" w:rsidP="006D6043">
      <w:pPr>
        <w:spacing w:after="0" w:line="240" w:lineRule="auto"/>
      </w:pPr>
      <w:r>
        <w:separator/>
      </w:r>
    </w:p>
  </w:footnote>
  <w:footnote w:type="continuationSeparator" w:id="0">
    <w:p w:rsidR="00984084" w:rsidRDefault="00984084" w:rsidP="006D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A65717" w:rsidTr="006D6043">
      <w:tc>
        <w:tcPr>
          <w:tcW w:w="2552" w:type="dxa"/>
        </w:tcPr>
        <w:p w:rsidR="00A65717" w:rsidRDefault="00132649">
          <w:pPr>
            <w:pStyle w:val="Cabealho"/>
          </w:pPr>
          <w:r>
            <w:object w:dxaOrig="2621" w:dyaOrig="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57.6pt" o:ole="" fillcolor="window">
                <v:imagedata r:id="rId1" o:title=""/>
              </v:shape>
              <o:OLEObject Type="Embed" ProgID="PBrush" ShapeID="_x0000_i1025" DrawAspect="Content" ObjectID="_1577780283" r:id="rId2"/>
            </w:object>
          </w:r>
        </w:p>
      </w:tc>
      <w:tc>
        <w:tcPr>
          <w:tcW w:w="7087" w:type="dxa"/>
        </w:tcPr>
        <w:p w:rsidR="00A65717" w:rsidRPr="00132649" w:rsidRDefault="00A65717" w:rsidP="00132649">
          <w:pPr>
            <w:pStyle w:val="Cabealho"/>
            <w:jc w:val="center"/>
            <w:rPr>
              <w:b/>
              <w:sz w:val="24"/>
              <w:szCs w:val="24"/>
            </w:rPr>
          </w:pPr>
          <w:r w:rsidRPr="00132649">
            <w:rPr>
              <w:b/>
              <w:sz w:val="24"/>
              <w:szCs w:val="24"/>
            </w:rPr>
            <w:t>INSTITUTO DE PREVIDÊNCIA SOCIAL DOS SERVIDORES MUNICIPAIS DE NOVA ALVORADA DO SUL/MS</w:t>
          </w:r>
        </w:p>
        <w:p w:rsidR="00A65717" w:rsidRPr="006D6043" w:rsidRDefault="00A65717" w:rsidP="00132649">
          <w:pPr>
            <w:pStyle w:val="Cabealho"/>
            <w:jc w:val="center"/>
            <w:rPr>
              <w:sz w:val="28"/>
              <w:szCs w:val="28"/>
            </w:rPr>
          </w:pPr>
          <w:r w:rsidRPr="00132649">
            <w:rPr>
              <w:b/>
              <w:sz w:val="24"/>
              <w:szCs w:val="24"/>
            </w:rPr>
            <w:t>PREVNAS</w:t>
          </w:r>
        </w:p>
      </w:tc>
    </w:tr>
  </w:tbl>
  <w:p w:rsidR="00A65717" w:rsidRDefault="00A65717" w:rsidP="001326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762C"/>
    <w:multiLevelType w:val="hybridMultilevel"/>
    <w:tmpl w:val="AB88F59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B172B54"/>
    <w:multiLevelType w:val="hybridMultilevel"/>
    <w:tmpl w:val="DA489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722DC5"/>
    <w:multiLevelType w:val="multilevel"/>
    <w:tmpl w:val="A32E97F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ascii="Calibri" w:hAnsi="Calibri"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E2D48AE"/>
    <w:multiLevelType w:val="hybridMultilevel"/>
    <w:tmpl w:val="1EB2F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54116F"/>
    <w:multiLevelType w:val="hybridMultilevel"/>
    <w:tmpl w:val="EF9CD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D56518F"/>
    <w:multiLevelType w:val="hybridMultilevel"/>
    <w:tmpl w:val="581C8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43"/>
    <w:rsid w:val="000263C3"/>
    <w:rsid w:val="0004430D"/>
    <w:rsid w:val="00047240"/>
    <w:rsid w:val="000A3C0C"/>
    <w:rsid w:val="000B057C"/>
    <w:rsid w:val="000D5A4C"/>
    <w:rsid w:val="000F23EA"/>
    <w:rsid w:val="000F65A8"/>
    <w:rsid w:val="00103ECC"/>
    <w:rsid w:val="0012534A"/>
    <w:rsid w:val="00132649"/>
    <w:rsid w:val="00160BC5"/>
    <w:rsid w:val="001E0936"/>
    <w:rsid w:val="001F0675"/>
    <w:rsid w:val="002234CC"/>
    <w:rsid w:val="00286CDD"/>
    <w:rsid w:val="002D3438"/>
    <w:rsid w:val="002E7189"/>
    <w:rsid w:val="00313C0B"/>
    <w:rsid w:val="003D780B"/>
    <w:rsid w:val="003E031F"/>
    <w:rsid w:val="00410A1E"/>
    <w:rsid w:val="00416C78"/>
    <w:rsid w:val="00563EAB"/>
    <w:rsid w:val="00575C69"/>
    <w:rsid w:val="005845AC"/>
    <w:rsid w:val="005A5C8C"/>
    <w:rsid w:val="005D15FB"/>
    <w:rsid w:val="005D457D"/>
    <w:rsid w:val="005D6371"/>
    <w:rsid w:val="005F36A7"/>
    <w:rsid w:val="006D6043"/>
    <w:rsid w:val="00765BF6"/>
    <w:rsid w:val="00771FA7"/>
    <w:rsid w:val="0077588D"/>
    <w:rsid w:val="007E5C1E"/>
    <w:rsid w:val="00806ED6"/>
    <w:rsid w:val="008209AB"/>
    <w:rsid w:val="00822D0D"/>
    <w:rsid w:val="0085015D"/>
    <w:rsid w:val="008F377C"/>
    <w:rsid w:val="00984084"/>
    <w:rsid w:val="009B3F49"/>
    <w:rsid w:val="009F59FA"/>
    <w:rsid w:val="00A17043"/>
    <w:rsid w:val="00A370FD"/>
    <w:rsid w:val="00A535BB"/>
    <w:rsid w:val="00A65717"/>
    <w:rsid w:val="00A678DD"/>
    <w:rsid w:val="00AD519F"/>
    <w:rsid w:val="00B00808"/>
    <w:rsid w:val="00B02C8F"/>
    <w:rsid w:val="00B076AF"/>
    <w:rsid w:val="00B15EF4"/>
    <w:rsid w:val="00B54AEC"/>
    <w:rsid w:val="00B6661E"/>
    <w:rsid w:val="00BC5C1E"/>
    <w:rsid w:val="00BD40DE"/>
    <w:rsid w:val="00BE2FDE"/>
    <w:rsid w:val="00C45A67"/>
    <w:rsid w:val="00C7128E"/>
    <w:rsid w:val="00CC45A6"/>
    <w:rsid w:val="00D11458"/>
    <w:rsid w:val="00D807CB"/>
    <w:rsid w:val="00D8268A"/>
    <w:rsid w:val="00E04541"/>
    <w:rsid w:val="00EB6FB0"/>
    <w:rsid w:val="00ED313A"/>
    <w:rsid w:val="00F31E2C"/>
    <w:rsid w:val="00F637B5"/>
    <w:rsid w:val="00FA0D86"/>
    <w:rsid w:val="00FC6988"/>
    <w:rsid w:val="00FD0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FA0D86"/>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unhideWhenUsed/>
    <w:qFormat/>
    <w:rsid w:val="00FA0D86"/>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har"/>
    <w:uiPriority w:val="9"/>
    <w:semiHidden/>
    <w:unhideWhenUsed/>
    <w:qFormat/>
    <w:rsid w:val="00FA0D86"/>
    <w:pPr>
      <w:keepNext/>
      <w:keepLines/>
      <w:spacing w:before="200" w:after="0" w:line="276" w:lineRule="auto"/>
      <w:outlineLvl w:val="2"/>
    </w:pPr>
    <w:rPr>
      <w:rFonts w:ascii="Cambria" w:eastAsia="Times New Roman" w:hAnsi="Cambria"/>
      <w:b/>
      <w:bCs/>
      <w:color w:val="4F81BD"/>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Recuodecorpodetexto">
    <w:name w:val="Body Text Indent"/>
    <w:basedOn w:val="Normal"/>
    <w:link w:val="RecuodecorpodetextoChar"/>
    <w:unhideWhenUsed/>
    <w:rsid w:val="0077588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77588D"/>
    <w:rPr>
      <w:rFonts w:ascii="Times New Roman" w:eastAsia="Times New Roman" w:hAnsi="Times New Roman" w:cs="Times New Roman"/>
      <w:sz w:val="24"/>
      <w:szCs w:val="24"/>
      <w:lang w:eastAsia="pt-BR"/>
    </w:rPr>
  </w:style>
  <w:style w:type="paragraph" w:customStyle="1" w:styleId="Default">
    <w:name w:val="Default"/>
    <w:rsid w:val="00D807C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uiPriority w:val="9"/>
    <w:rsid w:val="00FA0D86"/>
    <w:rPr>
      <w:rFonts w:ascii="Cambria" w:eastAsia="Times New Roman" w:hAnsi="Cambria" w:cs="Times New Roman"/>
      <w:b/>
      <w:bCs/>
      <w:color w:val="365F91"/>
      <w:sz w:val="28"/>
      <w:szCs w:val="28"/>
      <w:lang w:val="x-none" w:eastAsia="x-none"/>
    </w:rPr>
  </w:style>
  <w:style w:type="character" w:customStyle="1" w:styleId="Ttulo2Char">
    <w:name w:val="Título 2 Char"/>
    <w:basedOn w:val="Fontepargpadro"/>
    <w:link w:val="Ttulo2"/>
    <w:uiPriority w:val="9"/>
    <w:rsid w:val="00FA0D86"/>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semiHidden/>
    <w:rsid w:val="00FA0D86"/>
    <w:rPr>
      <w:rFonts w:ascii="Cambria" w:eastAsia="Times New Roman" w:hAnsi="Cambria" w:cs="Times New Roman"/>
      <w:b/>
      <w:bCs/>
      <w:color w:val="4F81BD"/>
      <w:sz w:val="20"/>
      <w:szCs w:val="20"/>
      <w:lang w:val="x-none" w:eastAsia="x-none"/>
    </w:rPr>
  </w:style>
  <w:style w:type="paragraph" w:styleId="PargrafodaLista">
    <w:name w:val="List Paragraph"/>
    <w:basedOn w:val="Normal"/>
    <w:uiPriority w:val="34"/>
    <w:qFormat/>
    <w:rsid w:val="00FA0D86"/>
    <w:pPr>
      <w:spacing w:after="200" w:line="276" w:lineRule="auto"/>
      <w:ind w:left="720"/>
      <w:contextualSpacing/>
    </w:pPr>
  </w:style>
  <w:style w:type="paragraph" w:styleId="CabealhodoSumrio">
    <w:name w:val="TOC Heading"/>
    <w:basedOn w:val="Ttulo1"/>
    <w:next w:val="Normal"/>
    <w:uiPriority w:val="39"/>
    <w:unhideWhenUsed/>
    <w:qFormat/>
    <w:rsid w:val="00FA0D86"/>
    <w:pPr>
      <w:outlineLvl w:val="9"/>
    </w:pPr>
  </w:style>
  <w:style w:type="paragraph" w:styleId="Sumrio2">
    <w:name w:val="toc 2"/>
    <w:basedOn w:val="Normal"/>
    <w:next w:val="Normal"/>
    <w:autoRedefine/>
    <w:uiPriority w:val="39"/>
    <w:unhideWhenUsed/>
    <w:qFormat/>
    <w:rsid w:val="00FA0D86"/>
    <w:pPr>
      <w:tabs>
        <w:tab w:val="left" w:pos="567"/>
        <w:tab w:val="left" w:pos="880"/>
        <w:tab w:val="right" w:leader="dot" w:pos="9214"/>
      </w:tabs>
      <w:spacing w:after="100" w:line="276" w:lineRule="auto"/>
      <w:ind w:left="220"/>
      <w:jc w:val="both"/>
    </w:pPr>
    <w:rPr>
      <w:rFonts w:ascii="Arial" w:eastAsia="Times New Roman" w:hAnsi="Arial" w:cs="Arial"/>
      <w:bCs/>
      <w:iCs/>
      <w:noProof/>
    </w:rPr>
  </w:style>
  <w:style w:type="paragraph" w:styleId="Sumrio1">
    <w:name w:val="toc 1"/>
    <w:basedOn w:val="Normal"/>
    <w:next w:val="Normal"/>
    <w:autoRedefine/>
    <w:uiPriority w:val="39"/>
    <w:unhideWhenUsed/>
    <w:qFormat/>
    <w:rsid w:val="00FA0D86"/>
    <w:pPr>
      <w:tabs>
        <w:tab w:val="left" w:pos="567"/>
        <w:tab w:val="right" w:leader="dot" w:pos="9214"/>
      </w:tabs>
      <w:spacing w:after="100" w:line="276" w:lineRule="auto"/>
      <w:ind w:left="567" w:hanging="567"/>
      <w:jc w:val="both"/>
    </w:pPr>
    <w:rPr>
      <w:rFonts w:ascii="Arial" w:eastAsia="Times New Roman" w:hAnsi="Arial" w:cs="Arial"/>
      <w:b/>
      <w:bCs/>
      <w:noProof/>
      <w:sz w:val="24"/>
      <w:szCs w:val="24"/>
    </w:rPr>
  </w:style>
  <w:style w:type="paragraph" w:styleId="Sumrio3">
    <w:name w:val="toc 3"/>
    <w:basedOn w:val="Normal"/>
    <w:next w:val="Normal"/>
    <w:autoRedefine/>
    <w:uiPriority w:val="39"/>
    <w:unhideWhenUsed/>
    <w:qFormat/>
    <w:rsid w:val="00FA0D86"/>
    <w:pPr>
      <w:tabs>
        <w:tab w:val="left" w:pos="1560"/>
        <w:tab w:val="right" w:leader="dot" w:pos="9214"/>
      </w:tabs>
      <w:spacing w:after="100" w:line="276" w:lineRule="auto"/>
      <w:ind w:left="851"/>
      <w:jc w:val="both"/>
    </w:pPr>
    <w:rPr>
      <w:rFonts w:ascii="Arial" w:eastAsia="Times New Roman" w:hAnsi="Arial" w:cs="Arial"/>
      <w:noProof/>
    </w:rPr>
  </w:style>
  <w:style w:type="paragraph" w:styleId="NormalWeb">
    <w:name w:val="Normal (Web)"/>
    <w:basedOn w:val="Normal"/>
    <w:uiPriority w:val="99"/>
    <w:semiHidden/>
    <w:unhideWhenUsed/>
    <w:rsid w:val="00FA0D8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A0D86"/>
    <w:rPr>
      <w:b/>
      <w:bCs/>
    </w:rPr>
  </w:style>
  <w:style w:type="character" w:customStyle="1" w:styleId="apple-converted-space">
    <w:name w:val="apple-converted-space"/>
    <w:rsid w:val="00FA0D86"/>
  </w:style>
  <w:style w:type="paragraph" w:styleId="Textodebalo">
    <w:name w:val="Balloon Text"/>
    <w:basedOn w:val="Normal"/>
    <w:link w:val="TextodebaloChar"/>
    <w:uiPriority w:val="99"/>
    <w:semiHidden/>
    <w:unhideWhenUsed/>
    <w:rsid w:val="00286C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C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paragraph" w:styleId="Ttulo1">
    <w:name w:val="heading 1"/>
    <w:basedOn w:val="Normal"/>
    <w:next w:val="Normal"/>
    <w:link w:val="Ttulo1Char"/>
    <w:uiPriority w:val="9"/>
    <w:qFormat/>
    <w:rsid w:val="00FA0D86"/>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unhideWhenUsed/>
    <w:qFormat/>
    <w:rsid w:val="00FA0D86"/>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har"/>
    <w:uiPriority w:val="9"/>
    <w:semiHidden/>
    <w:unhideWhenUsed/>
    <w:qFormat/>
    <w:rsid w:val="00FA0D86"/>
    <w:pPr>
      <w:keepNext/>
      <w:keepLines/>
      <w:spacing w:before="200" w:after="0" w:line="276" w:lineRule="auto"/>
      <w:outlineLvl w:val="2"/>
    </w:pPr>
    <w:rPr>
      <w:rFonts w:ascii="Cambria" w:eastAsia="Times New Roman" w:hAnsi="Cambria"/>
      <w:b/>
      <w:bCs/>
      <w:color w:val="4F81BD"/>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Recuodecorpodetexto">
    <w:name w:val="Body Text Indent"/>
    <w:basedOn w:val="Normal"/>
    <w:link w:val="RecuodecorpodetextoChar"/>
    <w:unhideWhenUsed/>
    <w:rsid w:val="0077588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77588D"/>
    <w:rPr>
      <w:rFonts w:ascii="Times New Roman" w:eastAsia="Times New Roman" w:hAnsi="Times New Roman" w:cs="Times New Roman"/>
      <w:sz w:val="24"/>
      <w:szCs w:val="24"/>
      <w:lang w:eastAsia="pt-BR"/>
    </w:rPr>
  </w:style>
  <w:style w:type="paragraph" w:customStyle="1" w:styleId="Default">
    <w:name w:val="Default"/>
    <w:rsid w:val="00D807C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uiPriority w:val="9"/>
    <w:rsid w:val="00FA0D86"/>
    <w:rPr>
      <w:rFonts w:ascii="Cambria" w:eastAsia="Times New Roman" w:hAnsi="Cambria" w:cs="Times New Roman"/>
      <w:b/>
      <w:bCs/>
      <w:color w:val="365F91"/>
      <w:sz w:val="28"/>
      <w:szCs w:val="28"/>
      <w:lang w:val="x-none" w:eastAsia="x-none"/>
    </w:rPr>
  </w:style>
  <w:style w:type="character" w:customStyle="1" w:styleId="Ttulo2Char">
    <w:name w:val="Título 2 Char"/>
    <w:basedOn w:val="Fontepargpadro"/>
    <w:link w:val="Ttulo2"/>
    <w:uiPriority w:val="9"/>
    <w:rsid w:val="00FA0D86"/>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semiHidden/>
    <w:rsid w:val="00FA0D86"/>
    <w:rPr>
      <w:rFonts w:ascii="Cambria" w:eastAsia="Times New Roman" w:hAnsi="Cambria" w:cs="Times New Roman"/>
      <w:b/>
      <w:bCs/>
      <w:color w:val="4F81BD"/>
      <w:sz w:val="20"/>
      <w:szCs w:val="20"/>
      <w:lang w:val="x-none" w:eastAsia="x-none"/>
    </w:rPr>
  </w:style>
  <w:style w:type="paragraph" w:styleId="PargrafodaLista">
    <w:name w:val="List Paragraph"/>
    <w:basedOn w:val="Normal"/>
    <w:uiPriority w:val="34"/>
    <w:qFormat/>
    <w:rsid w:val="00FA0D86"/>
    <w:pPr>
      <w:spacing w:after="200" w:line="276" w:lineRule="auto"/>
      <w:ind w:left="720"/>
      <w:contextualSpacing/>
    </w:pPr>
  </w:style>
  <w:style w:type="paragraph" w:styleId="CabealhodoSumrio">
    <w:name w:val="TOC Heading"/>
    <w:basedOn w:val="Ttulo1"/>
    <w:next w:val="Normal"/>
    <w:uiPriority w:val="39"/>
    <w:unhideWhenUsed/>
    <w:qFormat/>
    <w:rsid w:val="00FA0D86"/>
    <w:pPr>
      <w:outlineLvl w:val="9"/>
    </w:pPr>
  </w:style>
  <w:style w:type="paragraph" w:styleId="Sumrio2">
    <w:name w:val="toc 2"/>
    <w:basedOn w:val="Normal"/>
    <w:next w:val="Normal"/>
    <w:autoRedefine/>
    <w:uiPriority w:val="39"/>
    <w:unhideWhenUsed/>
    <w:qFormat/>
    <w:rsid w:val="00FA0D86"/>
    <w:pPr>
      <w:tabs>
        <w:tab w:val="left" w:pos="567"/>
        <w:tab w:val="left" w:pos="880"/>
        <w:tab w:val="right" w:leader="dot" w:pos="9214"/>
      </w:tabs>
      <w:spacing w:after="100" w:line="276" w:lineRule="auto"/>
      <w:ind w:left="220"/>
      <w:jc w:val="both"/>
    </w:pPr>
    <w:rPr>
      <w:rFonts w:ascii="Arial" w:eastAsia="Times New Roman" w:hAnsi="Arial" w:cs="Arial"/>
      <w:bCs/>
      <w:iCs/>
      <w:noProof/>
    </w:rPr>
  </w:style>
  <w:style w:type="paragraph" w:styleId="Sumrio1">
    <w:name w:val="toc 1"/>
    <w:basedOn w:val="Normal"/>
    <w:next w:val="Normal"/>
    <w:autoRedefine/>
    <w:uiPriority w:val="39"/>
    <w:unhideWhenUsed/>
    <w:qFormat/>
    <w:rsid w:val="00FA0D86"/>
    <w:pPr>
      <w:tabs>
        <w:tab w:val="left" w:pos="567"/>
        <w:tab w:val="right" w:leader="dot" w:pos="9214"/>
      </w:tabs>
      <w:spacing w:after="100" w:line="276" w:lineRule="auto"/>
      <w:ind w:left="567" w:hanging="567"/>
      <w:jc w:val="both"/>
    </w:pPr>
    <w:rPr>
      <w:rFonts w:ascii="Arial" w:eastAsia="Times New Roman" w:hAnsi="Arial" w:cs="Arial"/>
      <w:b/>
      <w:bCs/>
      <w:noProof/>
      <w:sz w:val="24"/>
      <w:szCs w:val="24"/>
    </w:rPr>
  </w:style>
  <w:style w:type="paragraph" w:styleId="Sumrio3">
    <w:name w:val="toc 3"/>
    <w:basedOn w:val="Normal"/>
    <w:next w:val="Normal"/>
    <w:autoRedefine/>
    <w:uiPriority w:val="39"/>
    <w:unhideWhenUsed/>
    <w:qFormat/>
    <w:rsid w:val="00FA0D86"/>
    <w:pPr>
      <w:tabs>
        <w:tab w:val="left" w:pos="1560"/>
        <w:tab w:val="right" w:leader="dot" w:pos="9214"/>
      </w:tabs>
      <w:spacing w:after="100" w:line="276" w:lineRule="auto"/>
      <w:ind w:left="851"/>
      <w:jc w:val="both"/>
    </w:pPr>
    <w:rPr>
      <w:rFonts w:ascii="Arial" w:eastAsia="Times New Roman" w:hAnsi="Arial" w:cs="Arial"/>
      <w:noProof/>
    </w:rPr>
  </w:style>
  <w:style w:type="paragraph" w:styleId="NormalWeb">
    <w:name w:val="Normal (Web)"/>
    <w:basedOn w:val="Normal"/>
    <w:uiPriority w:val="99"/>
    <w:semiHidden/>
    <w:unhideWhenUsed/>
    <w:rsid w:val="00FA0D86"/>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A0D86"/>
    <w:rPr>
      <w:b/>
      <w:bCs/>
    </w:rPr>
  </w:style>
  <w:style w:type="character" w:customStyle="1" w:styleId="apple-converted-space">
    <w:name w:val="apple-converted-space"/>
    <w:rsid w:val="00FA0D86"/>
  </w:style>
  <w:style w:type="paragraph" w:styleId="Textodebalo">
    <w:name w:val="Balloon Text"/>
    <w:basedOn w:val="Normal"/>
    <w:link w:val="TextodebaloChar"/>
    <w:uiPriority w:val="99"/>
    <w:semiHidden/>
    <w:unhideWhenUsed/>
    <w:rsid w:val="00286C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C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618">
      <w:bodyDiv w:val="1"/>
      <w:marLeft w:val="0"/>
      <w:marRight w:val="0"/>
      <w:marTop w:val="0"/>
      <w:marBottom w:val="0"/>
      <w:divBdr>
        <w:top w:val="none" w:sz="0" w:space="0" w:color="auto"/>
        <w:left w:val="none" w:sz="0" w:space="0" w:color="auto"/>
        <w:bottom w:val="none" w:sz="0" w:space="0" w:color="auto"/>
        <w:right w:val="none" w:sz="0" w:space="0" w:color="auto"/>
      </w:divBdr>
      <w:divsChild>
        <w:div w:id="280765280">
          <w:marLeft w:val="0"/>
          <w:marRight w:val="0"/>
          <w:marTop w:val="0"/>
          <w:marBottom w:val="0"/>
          <w:divBdr>
            <w:top w:val="none" w:sz="0" w:space="0" w:color="auto"/>
            <w:left w:val="none" w:sz="0" w:space="0" w:color="auto"/>
            <w:bottom w:val="none" w:sz="0" w:space="0" w:color="auto"/>
            <w:right w:val="none" w:sz="0" w:space="0" w:color="auto"/>
          </w:divBdr>
        </w:div>
        <w:div w:id="725759079">
          <w:marLeft w:val="0"/>
          <w:marRight w:val="0"/>
          <w:marTop w:val="0"/>
          <w:marBottom w:val="0"/>
          <w:divBdr>
            <w:top w:val="none" w:sz="0" w:space="0" w:color="auto"/>
            <w:left w:val="none" w:sz="0" w:space="0" w:color="auto"/>
            <w:bottom w:val="none" w:sz="0" w:space="0" w:color="auto"/>
            <w:right w:val="none" w:sz="0" w:space="0" w:color="auto"/>
          </w:divBdr>
        </w:div>
        <w:div w:id="1495881210">
          <w:marLeft w:val="0"/>
          <w:marRight w:val="0"/>
          <w:marTop w:val="0"/>
          <w:marBottom w:val="0"/>
          <w:divBdr>
            <w:top w:val="none" w:sz="0" w:space="0" w:color="auto"/>
            <w:left w:val="none" w:sz="0" w:space="0" w:color="auto"/>
            <w:bottom w:val="none" w:sz="0" w:space="0" w:color="auto"/>
            <w:right w:val="none" w:sz="0" w:space="0" w:color="auto"/>
          </w:divBdr>
        </w:div>
        <w:div w:id="1760828546">
          <w:marLeft w:val="0"/>
          <w:marRight w:val="0"/>
          <w:marTop w:val="0"/>
          <w:marBottom w:val="0"/>
          <w:divBdr>
            <w:top w:val="none" w:sz="0" w:space="0" w:color="auto"/>
            <w:left w:val="none" w:sz="0" w:space="0" w:color="auto"/>
            <w:bottom w:val="none" w:sz="0" w:space="0" w:color="auto"/>
            <w:right w:val="none" w:sz="0" w:space="0" w:color="auto"/>
          </w:divBdr>
        </w:div>
        <w:div w:id="840774221">
          <w:marLeft w:val="0"/>
          <w:marRight w:val="0"/>
          <w:marTop w:val="0"/>
          <w:marBottom w:val="0"/>
          <w:divBdr>
            <w:top w:val="none" w:sz="0" w:space="0" w:color="auto"/>
            <w:left w:val="none" w:sz="0" w:space="0" w:color="auto"/>
            <w:bottom w:val="none" w:sz="0" w:space="0" w:color="auto"/>
            <w:right w:val="none" w:sz="0" w:space="0" w:color="auto"/>
          </w:divBdr>
        </w:div>
        <w:div w:id="138976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xame.abril.com.br/economia/bc-esta-perto-de-cumprir-meta-de-inflacao-em-2016-aponta-focus/" TargetMode="External"/><Relationship Id="rId4" Type="http://schemas.microsoft.com/office/2007/relationships/stylesWithEffects" Target="stylesWithEffects.xml"/><Relationship Id="rId9" Type="http://schemas.openxmlformats.org/officeDocument/2006/relationships/hyperlink" Target="http://exame.abril.com.br/noticias-sobre/boletim-foc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vnas.dir@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EE7C-DAF4-417C-940A-A327F5F6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4925</Words>
  <Characters>26601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PREV</cp:lastModifiedBy>
  <cp:revision>5</cp:revision>
  <cp:lastPrinted>2018-01-18T14:21:00Z</cp:lastPrinted>
  <dcterms:created xsi:type="dcterms:W3CDTF">2018-01-18T13:46:00Z</dcterms:created>
  <dcterms:modified xsi:type="dcterms:W3CDTF">2018-01-18T14:32:00Z</dcterms:modified>
</cp:coreProperties>
</file>